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125C2" w14:textId="6C8894FA" w:rsidR="00974F1B" w:rsidRPr="00084D38" w:rsidRDefault="00974F1B" w:rsidP="00974F1B">
      <w:pPr>
        <w:pStyle w:val="TTPTitle"/>
        <w:spacing w:before="120"/>
        <w:rPr>
          <w:sz w:val="32"/>
          <w:szCs w:val="28"/>
        </w:rPr>
      </w:pPr>
      <w:r w:rsidRPr="00452D9F">
        <w:rPr>
          <w:sz w:val="32"/>
          <w:szCs w:val="28"/>
        </w:rPr>
        <w:t>Research on the Influence of Employee Psychological Factors on Enterprise Compensation Management</w:t>
      </w:r>
      <w:r w:rsidRPr="00452D9F">
        <w:rPr>
          <w:rFonts w:hint="eastAsia"/>
          <w:sz w:val="32"/>
          <w:szCs w:val="28"/>
        </w:rPr>
        <w:t>—</w:t>
      </w:r>
      <w:r w:rsidRPr="00452D9F">
        <w:rPr>
          <w:sz w:val="32"/>
          <w:szCs w:val="28"/>
        </w:rPr>
        <w:t>Take Tencent as an Example</w:t>
      </w:r>
    </w:p>
    <w:p w14:paraId="7352506D" w14:textId="74330B19" w:rsidR="00974F1B" w:rsidRPr="00974F1B" w:rsidRDefault="00974F1B" w:rsidP="00974F1B">
      <w:pPr>
        <w:pStyle w:val="TTPAuthors"/>
        <w:spacing w:before="240"/>
      </w:pPr>
      <w:proofErr w:type="spellStart"/>
      <w:r w:rsidRPr="00974F1B">
        <w:t>Haoyuan</w:t>
      </w:r>
      <w:proofErr w:type="spellEnd"/>
      <w:r w:rsidRPr="00974F1B">
        <w:t xml:space="preserve"> Fan</w:t>
      </w:r>
    </w:p>
    <w:p w14:paraId="37E45458" w14:textId="05F3F0FE" w:rsidR="00974F1B" w:rsidRPr="00974F1B" w:rsidRDefault="00974F1B" w:rsidP="00974F1B">
      <w:pPr>
        <w:pStyle w:val="TTPAddress"/>
      </w:pPr>
      <w:r w:rsidRPr="00974F1B">
        <w:t xml:space="preserve">School of Logistics Management and Engineering, </w:t>
      </w:r>
      <w:r w:rsidRPr="00974F1B">
        <w:rPr>
          <w:rFonts w:hint="eastAsia"/>
        </w:rPr>
        <w:t>Zhuhai College of Science and Technology (ZCST)</w:t>
      </w:r>
      <w:r w:rsidRPr="00974F1B">
        <w:t>, Zhuhai City, Guangdong Province, 519040, China</w:t>
      </w:r>
    </w:p>
    <w:p w14:paraId="6CB321CF" w14:textId="66E67C90" w:rsidR="00974F1B" w:rsidRPr="00DD4E1D" w:rsidRDefault="00974F1B" w:rsidP="00974F1B">
      <w:pPr>
        <w:pStyle w:val="TTPAddress"/>
        <w:rPr>
          <w:lang w:eastAsia="zh-CN"/>
        </w:rPr>
      </w:pPr>
      <w:r w:rsidRPr="00452D9F">
        <w:rPr>
          <w:lang w:eastAsia="zh-CN"/>
        </w:rPr>
        <w:t>20203078@stu.hebmu.edu.cn</w:t>
      </w:r>
    </w:p>
    <w:p w14:paraId="74B7BDCB" w14:textId="4509AAF0" w:rsidR="0007556F" w:rsidRPr="005620CC" w:rsidRDefault="0007556F" w:rsidP="0007556F">
      <w:pPr>
        <w:pStyle w:val="TTPAbstract"/>
        <w:spacing w:before="180"/>
        <w:rPr>
          <w:rFonts w:ascii="Arial" w:hAnsi="Arial" w:cs="Arial"/>
          <w:sz w:val="22"/>
        </w:rPr>
      </w:pPr>
      <w:r w:rsidRPr="005620CC">
        <w:rPr>
          <w:rFonts w:ascii="Arial" w:hAnsi="Arial" w:cs="Arial"/>
          <w:b/>
          <w:sz w:val="22"/>
        </w:rPr>
        <w:t xml:space="preserve">Abstract. </w:t>
      </w:r>
      <w:r w:rsidR="00974F1B" w:rsidRPr="00452D9F">
        <w:rPr>
          <w:rFonts w:ascii="Arial" w:hAnsi="Arial" w:cs="Arial"/>
          <w:sz w:val="22"/>
        </w:rPr>
        <w:t>The significance of investigating the impact of employee psychological factors on corporate compensation management lies in its pivotal role in shaping organizational dynamics. This research topic is chosen due to the critical influence of employee attitudes and perceptions on the effectiveness of compensation strategies within companies. The case description provides a contextualized examination of instances where employee psychology has played a decisive role in shaping compensation practices. It unveils real-world scenarios that highlight the complexity of managing compensation in light of diverse psychological factors. The analysis section scrutinizes the challenges associated with integrating employee psychology into compensation management. This involves a thorough exploration of the multifaceted issues arising from aligning compensation structures with motivational drivers, job satisfaction, and performance expectations. The analysis underscores the implications of these psychological factors on the overall success of compensation strategies. In the suggestion part, the study proposes strategic recommendations for organizations seeking to optimize their compensation management practices. These suggestions emphasize the need to tailor compensation packages to align positively with employee expectations, thereby fostering a conducive and motivating work environment. The conclusion emphasizes the overarching significance of considering employee psychological factors in compensation management. The research contributes to the understanding of how these factors shape organizational dynamics and emphasizes the imperative for organizations to adapt their strategies to the intricacies of human behavior within the workplace.</w:t>
      </w:r>
    </w:p>
    <w:p w14:paraId="7787A6C8" w14:textId="6D1AFDFF" w:rsidR="000E63FC" w:rsidRPr="00AC47E2" w:rsidRDefault="0007556F" w:rsidP="00AC47E2">
      <w:pPr>
        <w:pStyle w:val="TTPKeywords"/>
        <w:spacing w:before="180"/>
      </w:pPr>
      <w:r w:rsidRPr="00DD4E1D">
        <w:rPr>
          <w:b/>
          <w:bCs/>
        </w:rPr>
        <w:t>Keywords:</w:t>
      </w:r>
      <w:r w:rsidRPr="00DD4E1D">
        <w:t xml:space="preserve"> </w:t>
      </w:r>
      <w:r w:rsidR="00974F1B" w:rsidRPr="00452D9F">
        <w:t>Compensation Management</w:t>
      </w:r>
      <w:r w:rsidR="00974F1B">
        <w:t>,</w:t>
      </w:r>
      <w:r w:rsidR="00974F1B" w:rsidRPr="00452D9F">
        <w:t xml:space="preserve"> Employee Psychology</w:t>
      </w:r>
      <w:r w:rsidR="00974F1B">
        <w:t>,</w:t>
      </w:r>
      <w:r w:rsidR="00974F1B" w:rsidRPr="00452D9F">
        <w:t xml:space="preserve"> Organizational Dynamics</w:t>
      </w:r>
      <w:r w:rsidR="00974F1B">
        <w:t>,</w:t>
      </w:r>
      <w:r w:rsidR="00974F1B" w:rsidRPr="00452D9F">
        <w:t xml:space="preserve"> Motivational Drivers</w:t>
      </w:r>
      <w:r w:rsidR="00974F1B">
        <w:t>,</w:t>
      </w:r>
      <w:r w:rsidR="00974F1B" w:rsidRPr="00452D9F">
        <w:t xml:space="preserve"> Work Environment</w:t>
      </w:r>
      <w:r w:rsidR="000E63FC" w:rsidRPr="00DD4E1D">
        <w:t>.</w:t>
      </w:r>
    </w:p>
    <w:p w14:paraId="09B2D9FF" w14:textId="77777777" w:rsidR="00974F1B" w:rsidRPr="00974F1B" w:rsidRDefault="00974F1B" w:rsidP="00974F1B">
      <w:pPr>
        <w:pStyle w:val="1"/>
        <w:numPr>
          <w:ilvl w:val="0"/>
          <w:numId w:val="9"/>
        </w:numPr>
        <w:ind w:left="420" w:hanging="420"/>
      </w:pPr>
      <w:r w:rsidRPr="00974F1B">
        <w:t xml:space="preserve">Introduction </w:t>
      </w:r>
    </w:p>
    <w:p w14:paraId="2D61BA2B" w14:textId="77777777" w:rsidR="00974F1B" w:rsidRPr="00974F1B" w:rsidRDefault="00974F1B" w:rsidP="00974F1B">
      <w:pPr>
        <w:pStyle w:val="TTPParagraphothers"/>
      </w:pPr>
      <w:r w:rsidRPr="00974F1B">
        <w:t>In the contemporary landscape of organizational management, the intricate relationship between employee psychological factors and corporate compensation strategies has become a focal point of interest. This study delves into the complex interplay between employee psychology and compensation management within the business context [1].</w:t>
      </w:r>
    </w:p>
    <w:p w14:paraId="192FD5BF" w14:textId="77777777" w:rsidR="00974F1B" w:rsidRPr="00974F1B" w:rsidRDefault="00974F1B" w:rsidP="00974F1B">
      <w:pPr>
        <w:pStyle w:val="2"/>
        <w:numPr>
          <w:ilvl w:val="1"/>
          <w:numId w:val="9"/>
        </w:numPr>
        <w:ind w:left="420" w:hanging="420"/>
      </w:pPr>
      <w:r w:rsidRPr="00974F1B">
        <w:t>Research Background</w:t>
      </w:r>
    </w:p>
    <w:p w14:paraId="5B27B6DC" w14:textId="77777777" w:rsidR="00974F1B" w:rsidRPr="00974F1B" w:rsidRDefault="00974F1B" w:rsidP="00974F1B">
      <w:pPr>
        <w:pStyle w:val="TTPParagraphothers"/>
      </w:pPr>
      <w:r w:rsidRPr="00974F1B">
        <w:t>The imperative of this research is underscored by the evolving dynamics of the corporate world, where the strategic alignment of compensation practices with the psychological well-being of employees emerges as a pivotal factor in organizational success. The growing body of industry data accentuates the urgency of understanding the nuanced relationship between compensation structures and employee psychology. The significance lies not only in optimizing internal workforce dynamics but also in addressing broader societal and business challenges. This research is paramount due to its potential to unlock essential insights into how businesses can enhance their competitiveness and societal value by fostering a harmonious relationship between employee well-being and compensation strategies [2].</w:t>
      </w:r>
    </w:p>
    <w:p w14:paraId="1D9EF1C9" w14:textId="77777777" w:rsidR="00974F1B" w:rsidRPr="00974F1B" w:rsidRDefault="00974F1B" w:rsidP="00974F1B">
      <w:pPr>
        <w:pStyle w:val="2"/>
        <w:numPr>
          <w:ilvl w:val="1"/>
          <w:numId w:val="9"/>
        </w:numPr>
        <w:ind w:left="420" w:hanging="420"/>
      </w:pPr>
      <w:r w:rsidRPr="00974F1B">
        <w:lastRenderedPageBreak/>
        <w:t>Literature Review</w:t>
      </w:r>
    </w:p>
    <w:p w14:paraId="75AE7A04" w14:textId="77777777" w:rsidR="00974F1B" w:rsidRPr="00974F1B" w:rsidRDefault="00974F1B" w:rsidP="00974F1B">
      <w:pPr>
        <w:pStyle w:val="TTPParagraphothers"/>
      </w:pPr>
      <w:r w:rsidRPr="00974F1B">
        <w:t>In examining pertinent literature, several key findings emerge. Wang &amp; Zhang, for instance, proposed that aligning compensation with individual motivational drivers positively influences overall job satisfaction [1]. Luthans believes that money can motivate employees under the following three conditions: a. The amount of money itself is seductive; b. The employee can get the money expected after the completion of the work; c. Employees have improved their work performance through efforts [3]. Similarly, studies by various scholars underscore the importance of recognizing the nuanced interplay between employee psychology and compensation management. Collectively, these works emphasize the need for a comprehensive understanding of how psychological factors impact compensation structures.</w:t>
      </w:r>
    </w:p>
    <w:p w14:paraId="418BEF07" w14:textId="77777777" w:rsidR="00974F1B" w:rsidRPr="00974F1B" w:rsidRDefault="00974F1B" w:rsidP="00974F1B">
      <w:pPr>
        <w:pStyle w:val="TTPParagraphothers"/>
      </w:pPr>
      <w:r w:rsidRPr="00974F1B">
        <w:t>While existing literature delves into the broad strokes of the relationship between compensation and employee psychology, a notable research gap exists concerning the nuanced examination of specific psychological factors such as job satisfaction, motivation, and performance expectations. Most scholars have concentrated on generic analyses, leaving a void in the exploration of the finer psychological nuances that influence compensation dynamics.</w:t>
      </w:r>
    </w:p>
    <w:p w14:paraId="305DB7E2" w14:textId="77777777" w:rsidR="00974F1B" w:rsidRPr="00974F1B" w:rsidRDefault="00974F1B" w:rsidP="00974F1B">
      <w:pPr>
        <w:pStyle w:val="2"/>
        <w:numPr>
          <w:ilvl w:val="1"/>
          <w:numId w:val="9"/>
        </w:numPr>
        <w:ind w:left="420" w:hanging="420"/>
      </w:pPr>
      <w:r w:rsidRPr="00974F1B">
        <w:t>Research Framework</w:t>
      </w:r>
    </w:p>
    <w:p w14:paraId="166438DD" w14:textId="77777777" w:rsidR="00974F1B" w:rsidRPr="00974F1B" w:rsidRDefault="00974F1B" w:rsidP="00974F1B">
      <w:pPr>
        <w:pStyle w:val="TTPParagraphothers"/>
      </w:pPr>
      <w:r w:rsidRPr="00974F1B">
        <w:t>This research aims to bridge the identified gap by employing a sequential logic. First, it will analyze the prevailing literature to establish a foundational understanding of general trends. Second, it will delve into the unexplored realms of specific psychological factors, providing a more granular perspective. Lastly, it will synthesize these findings to construct a comprehensive framework that organizations can use to tailor compensation practices according to distinct employee psychological profiles.</w:t>
      </w:r>
    </w:p>
    <w:p w14:paraId="1DE62F02" w14:textId="77777777" w:rsidR="00974F1B" w:rsidRPr="00974F1B" w:rsidRDefault="00974F1B" w:rsidP="00974F1B">
      <w:pPr>
        <w:pStyle w:val="1"/>
        <w:numPr>
          <w:ilvl w:val="0"/>
          <w:numId w:val="9"/>
        </w:numPr>
        <w:ind w:left="420" w:hanging="420"/>
      </w:pPr>
      <w:r w:rsidRPr="00974F1B">
        <w:t xml:space="preserve">Case Description </w:t>
      </w:r>
    </w:p>
    <w:p w14:paraId="22A62676" w14:textId="77777777" w:rsidR="00974F1B" w:rsidRPr="00974F1B" w:rsidRDefault="00974F1B" w:rsidP="00974F1B">
      <w:pPr>
        <w:pStyle w:val="TTPParagraphothers"/>
      </w:pPr>
      <w:r w:rsidRPr="00974F1B">
        <w:t>In the realm of contemporary organizational dynamics, the impact of employee psychological factors on corporate compensation management has manifested prominently in a case involving a multinational technology corporation referred to herein as "</w:t>
      </w:r>
      <w:proofErr w:type="spellStart"/>
      <w:r w:rsidRPr="00974F1B">
        <w:t>TechCo</w:t>
      </w:r>
      <w:proofErr w:type="spellEnd"/>
      <w:r w:rsidRPr="00974F1B">
        <w:t xml:space="preserve">." </w:t>
      </w:r>
      <w:proofErr w:type="spellStart"/>
      <w:r w:rsidRPr="00974F1B">
        <w:t>TechCo</w:t>
      </w:r>
      <w:proofErr w:type="spellEnd"/>
      <w:r w:rsidRPr="00974F1B">
        <w:t xml:space="preserve">, a leader in the ever-evolving tech industry, operates in a highly competitive environment </w:t>
      </w:r>
      <w:proofErr w:type="gramStart"/>
      <w:r w:rsidRPr="00974F1B">
        <w:t>where</w:t>
      </w:r>
      <w:proofErr w:type="gramEnd"/>
      <w:r w:rsidRPr="00974F1B">
        <w:t xml:space="preserve"> attracting and retaining top-tier talent is pivotal for sustained success.</w:t>
      </w:r>
    </w:p>
    <w:p w14:paraId="5B1E4253" w14:textId="77777777" w:rsidR="00974F1B" w:rsidRPr="00974F1B" w:rsidRDefault="00974F1B" w:rsidP="00974F1B">
      <w:pPr>
        <w:pStyle w:val="TTPParagraphothers"/>
      </w:pPr>
      <w:proofErr w:type="spellStart"/>
      <w:r w:rsidRPr="00974F1B">
        <w:t>TechCo's</w:t>
      </w:r>
      <w:proofErr w:type="spellEnd"/>
      <w:r w:rsidRPr="00974F1B">
        <w:t xml:space="preserve"> compensation management system had traditionally been designed based on industry benchmarks and financial performance metrics. However, a noticeable decline in employee morale and a surge in turnover rates prompted the company to investigate the role of psychological factors in shaping employee perceptions of the existing compensation structure.</w:t>
      </w:r>
    </w:p>
    <w:p w14:paraId="32E3529A" w14:textId="77777777" w:rsidR="00974F1B" w:rsidRPr="00974F1B" w:rsidRDefault="00974F1B" w:rsidP="00974F1B">
      <w:pPr>
        <w:pStyle w:val="TTPParagraphothers"/>
      </w:pPr>
      <w:r w:rsidRPr="00974F1B">
        <w:t>The case unfolds against the backdrop of a rapidly evolving industry, where talent retention has emerged as a critical challenge. Employee surveys revealed a misalignment between the company's compensation strategies and the diverse motivational drivers of its workforce. Contrary to assumptions rooted in financial incentives, employees expressed a pronounced desire for non-monetary recognition, career development opportunities, and a sense of purpose in their roles.</w:t>
      </w:r>
    </w:p>
    <w:p w14:paraId="55E4BFBA" w14:textId="77777777" w:rsidR="00974F1B" w:rsidRPr="00974F1B" w:rsidRDefault="00974F1B" w:rsidP="00974F1B">
      <w:pPr>
        <w:pStyle w:val="TTPParagraphothers"/>
      </w:pPr>
      <w:r w:rsidRPr="00974F1B">
        <w:t xml:space="preserve">The recognition of this misalignment became particularly apparent as </w:t>
      </w:r>
      <w:proofErr w:type="spellStart"/>
      <w:r w:rsidRPr="00974F1B">
        <w:t>TechCo</w:t>
      </w:r>
      <w:proofErr w:type="spellEnd"/>
      <w:r w:rsidRPr="00974F1B">
        <w:t xml:space="preserve"> observed an increase in disengagement levels and a decline in overall job satisfaction. Employees, despite competitive salaries, felt undervalued and disconnected from the organization's broader mission.</w:t>
      </w:r>
    </w:p>
    <w:p w14:paraId="439C1DFC" w14:textId="77777777" w:rsidR="00974F1B" w:rsidRPr="00974F1B" w:rsidRDefault="00974F1B" w:rsidP="00974F1B">
      <w:pPr>
        <w:pStyle w:val="TTPParagraphothers"/>
      </w:pPr>
      <w:r w:rsidRPr="00974F1B">
        <w:t>The case also identified distinct demographic variations in the impact of psychological factors on compensation preferences. Younger employees exhibited a stronger inclination towards non-monetary benefits, seeking a vibrant workplace culture and opportunities for skill development. In contrast, more seasoned employees placed greater emphasis on long-term benefits and retirement planning [4].</w:t>
      </w:r>
    </w:p>
    <w:p w14:paraId="57371719" w14:textId="77777777" w:rsidR="00974F1B" w:rsidRPr="00974F1B" w:rsidRDefault="00974F1B" w:rsidP="00974F1B">
      <w:pPr>
        <w:pStyle w:val="TTPParagraphothers"/>
      </w:pPr>
      <w:r w:rsidRPr="00974F1B">
        <w:t xml:space="preserve">In response to these findings, </w:t>
      </w:r>
      <w:proofErr w:type="spellStart"/>
      <w:r w:rsidRPr="00974F1B">
        <w:t>TechCo</w:t>
      </w:r>
      <w:proofErr w:type="spellEnd"/>
      <w:r w:rsidRPr="00974F1B">
        <w:t xml:space="preserve"> initiated a comprehensive overhaul of its compensation management system. The restructuring involved the introduction of tailored benefits packages, </w:t>
      </w:r>
      <w:r w:rsidRPr="00974F1B">
        <w:lastRenderedPageBreak/>
        <w:t>increased focus on professional development programs, and the incorporation of flexible work arrangements to accommodate varied employee preferences.</w:t>
      </w:r>
    </w:p>
    <w:p w14:paraId="777E1004" w14:textId="77777777" w:rsidR="00974F1B" w:rsidRPr="00974F1B" w:rsidRDefault="00974F1B" w:rsidP="00974F1B">
      <w:pPr>
        <w:pStyle w:val="TTPParagraphothers"/>
      </w:pPr>
      <w:r w:rsidRPr="00974F1B">
        <w:t>The outcomes of this initiative were tracked through subsequent employee surveys, performance metrics, and retention rates. Over time, the company witnessed a significant improvement in employee satisfaction, a reduction in turnover, and an enhanced reputation as an employer of choice.</w:t>
      </w:r>
    </w:p>
    <w:p w14:paraId="3A3965E9" w14:textId="77777777" w:rsidR="00974F1B" w:rsidRPr="00974F1B" w:rsidRDefault="00974F1B" w:rsidP="00974F1B">
      <w:pPr>
        <w:pStyle w:val="TTPParagraphothers"/>
      </w:pPr>
      <w:r w:rsidRPr="00974F1B">
        <w:t xml:space="preserve">This case highlights the transformative impact of recognizing and addressing employee psychological factors in the design of compensation structures. </w:t>
      </w:r>
      <w:proofErr w:type="spellStart"/>
      <w:r w:rsidRPr="00974F1B">
        <w:t>TechCo's</w:t>
      </w:r>
      <w:proofErr w:type="spellEnd"/>
      <w:r w:rsidRPr="00974F1B">
        <w:t xml:space="preserve"> journey underscores the importance of aligning compensation practices with the nuanced motivational drivers of a diverse and dynamic workforce, ultimately contributing to organizational resilience and competitiveness in the tech industry [5].</w:t>
      </w:r>
    </w:p>
    <w:p w14:paraId="47076A3F" w14:textId="77777777" w:rsidR="00974F1B" w:rsidRPr="00974F1B" w:rsidRDefault="00974F1B" w:rsidP="00974F1B">
      <w:pPr>
        <w:pStyle w:val="1"/>
        <w:numPr>
          <w:ilvl w:val="0"/>
          <w:numId w:val="9"/>
        </w:numPr>
        <w:ind w:left="420" w:hanging="420"/>
      </w:pPr>
      <w:r w:rsidRPr="00974F1B">
        <w:t>Analysis on the Problem</w:t>
      </w:r>
    </w:p>
    <w:p w14:paraId="0283BB1F" w14:textId="77777777" w:rsidR="00974F1B" w:rsidRPr="00974F1B" w:rsidRDefault="00974F1B" w:rsidP="00974F1B">
      <w:pPr>
        <w:pStyle w:val="2"/>
        <w:numPr>
          <w:ilvl w:val="1"/>
          <w:numId w:val="9"/>
        </w:numPr>
        <w:ind w:left="420" w:hanging="420"/>
      </w:pPr>
      <w:r w:rsidRPr="00974F1B">
        <w:t>Problem Identification</w:t>
      </w:r>
    </w:p>
    <w:p w14:paraId="12AE4BA3" w14:textId="77777777" w:rsidR="00974F1B" w:rsidRPr="00974F1B" w:rsidRDefault="00974F1B" w:rsidP="00974F1B">
      <w:pPr>
        <w:pStyle w:val="3"/>
        <w:rPr>
          <w:szCs w:val="24"/>
          <w:lang w:eastAsia="zh-CN"/>
        </w:rPr>
      </w:pPr>
      <w:r w:rsidRPr="00974F1B">
        <w:t>3.1.1 Inadequate alignment between compensation and employee job satisfaction</w:t>
      </w:r>
    </w:p>
    <w:p w14:paraId="4398689C" w14:textId="77777777" w:rsidR="00974F1B" w:rsidRPr="00974F1B" w:rsidRDefault="00974F1B" w:rsidP="00974F1B">
      <w:pPr>
        <w:pStyle w:val="TTPParagraphothers"/>
      </w:pPr>
      <w:r w:rsidRPr="00974F1B">
        <w:t>The first identified problem at Tencent Corporation involves an apparent misalignment between the existing compensation structure and the levels of job satisfaction among its employees. Despite Tencent being renowned for its innovative work environment, there are indications that the current compensation framework may not be fully resonating with the diverse needs and expectations of its workforce.</w:t>
      </w:r>
    </w:p>
    <w:p w14:paraId="48F20296" w14:textId="77777777" w:rsidR="00974F1B" w:rsidRPr="00974F1B" w:rsidRDefault="00974F1B" w:rsidP="00974F1B">
      <w:pPr>
        <w:pStyle w:val="3"/>
      </w:pPr>
      <w:r w:rsidRPr="00974F1B">
        <w:t>3.1.2 Erosion of employee motivation and commitment</w:t>
      </w:r>
    </w:p>
    <w:p w14:paraId="075A0D23" w14:textId="77777777" w:rsidR="00974F1B" w:rsidRPr="00974F1B" w:rsidRDefault="00974F1B" w:rsidP="00974F1B">
      <w:pPr>
        <w:pStyle w:val="TTPParagraphothers"/>
      </w:pPr>
      <w:r w:rsidRPr="00974F1B">
        <w:t>Another pressing concern revolves around the noticeable decline in motivation and commitment among specific workforce segments. Despite Tencent's historical prowess in attracting top-tier talent, discernible indications are pointing to a waning sense of dedication and enthusiasm, particularly among employees with prolonged tenures. This predicament carries profound implications, particularly in terms of talent retention and the overarching performance of the organization. As longstanding employees exhibit diminishing levels of commitment, addressing this issue becomes paramount for sustaining a vibrant and high-performing workforce.</w:t>
      </w:r>
    </w:p>
    <w:p w14:paraId="24B6A69F" w14:textId="77777777" w:rsidR="00974F1B" w:rsidRPr="00974F1B" w:rsidRDefault="00974F1B" w:rsidP="00974F1B">
      <w:pPr>
        <w:pStyle w:val="3"/>
      </w:pPr>
      <w:r w:rsidRPr="00974F1B">
        <w:t>3.1.3 Disparities in compensation equity across departments</w:t>
      </w:r>
    </w:p>
    <w:p w14:paraId="0E22F05D" w14:textId="77777777" w:rsidR="00974F1B" w:rsidRPr="00974F1B" w:rsidRDefault="00974F1B" w:rsidP="00974F1B">
      <w:pPr>
        <w:pStyle w:val="TTPParagraphothers"/>
      </w:pPr>
      <w:r w:rsidRPr="00974F1B">
        <w:t>The third challenge stems from the presence of inequities in compensation across various departments within Tencent. Within certain departments, employees perceive disparities in the fairness of compensation, giving rise to a sense of inequity. This situation has the potential to impact collaboration and morale among different departments adversely. Addressing these compensation imbalances is crucial to fostering a harmonious work environment and promoting collaboration and morale across the organization. Efforts should be directed toward establishing a more equitable compensation structure that aligns with the contributions and responsibilities of employees, fostering a sense of fairness and unity within Tencent's diverse workforce [6].</w:t>
      </w:r>
    </w:p>
    <w:p w14:paraId="6D6BE803" w14:textId="77777777" w:rsidR="00974F1B" w:rsidRPr="00974F1B" w:rsidRDefault="00974F1B" w:rsidP="00974F1B">
      <w:pPr>
        <w:pStyle w:val="2"/>
        <w:numPr>
          <w:ilvl w:val="1"/>
          <w:numId w:val="9"/>
        </w:numPr>
        <w:ind w:left="420" w:hanging="420"/>
      </w:pPr>
      <w:r w:rsidRPr="00974F1B">
        <w:t>Reason Analysis of Problems</w:t>
      </w:r>
    </w:p>
    <w:p w14:paraId="5FB0BF30" w14:textId="77777777" w:rsidR="00974F1B" w:rsidRPr="00974F1B" w:rsidRDefault="00974F1B" w:rsidP="00974F1B">
      <w:pPr>
        <w:pStyle w:val="3"/>
      </w:pPr>
      <w:r w:rsidRPr="00974F1B">
        <w:t>3.2.1 Rapid industry evolution and evolving employee expectations</w:t>
      </w:r>
    </w:p>
    <w:p w14:paraId="1AA37745" w14:textId="77777777" w:rsidR="00974F1B" w:rsidRPr="00974F1B" w:rsidRDefault="00974F1B" w:rsidP="00974F1B">
      <w:pPr>
        <w:pStyle w:val="TTPParagraphothers"/>
      </w:pPr>
      <w:r w:rsidRPr="00974F1B">
        <w:t>The misalignment between compensation and job satisfaction can be ascribed to the dynamic evolution of the technology industry and the shifting expectations of Tencent's workforce. The rapid pace of change in the industry landscape has led employees to seek compensation structures that go beyond merely reflecting market benchmarks. Instead, they are increasingly looking for remuneration that aligns closely with their individual and professional aspirations. In response to these evolving expectations, Tencent must proactively adapt its compensation practices. This adaptation involves not only staying abreast of industry standards but also incorporating a nuanced understanding of employees' diverse needs and career aspirations. A comprehensive review and adjustment of the compensation framework, considering factors such as skill acquisition, career progression, and work-</w:t>
      </w:r>
      <w:r w:rsidRPr="00974F1B">
        <w:lastRenderedPageBreak/>
        <w:t>life balance, are imperative [7]. By aligning compensation more closely with the evolving expectations of its workforce, Tencent can enhance job satisfaction, foster a positive work culture, and ensure the company remains an employer of choice in the competitive technology landscape.</w:t>
      </w:r>
    </w:p>
    <w:p w14:paraId="0C235BF3" w14:textId="77777777" w:rsidR="00974F1B" w:rsidRPr="00974F1B" w:rsidRDefault="00974F1B" w:rsidP="00974F1B">
      <w:pPr>
        <w:pStyle w:val="3"/>
      </w:pPr>
      <w:r w:rsidRPr="00974F1B">
        <w:t>3.2.2 Lack of tailored motivational strategies</w:t>
      </w:r>
    </w:p>
    <w:p w14:paraId="438B3080" w14:textId="77777777" w:rsidR="00974F1B" w:rsidRPr="00974F1B" w:rsidRDefault="00974F1B" w:rsidP="00974F1B">
      <w:pPr>
        <w:pStyle w:val="TTPParagraphothers"/>
      </w:pPr>
      <w:r w:rsidRPr="00974F1B">
        <w:t>The decline in employee motivation and commitment within certain segments of Tencent's workforce could be attributed to the absence of tailored motivational strategies. While Tencent has thrived on its dynamic and innovative culture, sustaining long-term employee commitment demands more than just financial incentives. To address this issue, the company stands to gain from the implementation of personalized motivation strategies. Tencent could explore avenues such as providing tailored career development opportunities, recognizing individual accomplishments, and placing a greater emphasis on work-life balance. These strategies would acknowledge and cater to the diverse needs and aspirations of employees, fostering a sense of individual value and investment in their professional growth. By adopting a more personalized approach to motivation, Tencent can not only mitigate the observed erosion of commitment but also create a workplace culture that enhances employee satisfaction, engagement, and long-term retention.</w:t>
      </w:r>
    </w:p>
    <w:p w14:paraId="4DD07351" w14:textId="77777777" w:rsidR="00974F1B" w:rsidRPr="00974F1B" w:rsidRDefault="00974F1B" w:rsidP="00974F1B">
      <w:pPr>
        <w:pStyle w:val="3"/>
      </w:pPr>
      <w:r w:rsidRPr="00974F1B">
        <w:t>3.2.3 Communication gaps in compensation equity</w:t>
      </w:r>
    </w:p>
    <w:p w14:paraId="50E4DBF1" w14:textId="77777777" w:rsidR="00974F1B" w:rsidRPr="00974F1B" w:rsidRDefault="00974F1B" w:rsidP="00974F1B">
      <w:pPr>
        <w:pStyle w:val="TTPParagraphothers"/>
      </w:pPr>
      <w:r w:rsidRPr="00974F1B">
        <w:t>Communication gaps within Tencent may exacerbate disparities in compensation equity. If employees perceive inequities, it could be indicative of inadequate communication regarding the rationale behind compensation decisions. Enhancing transparency and communication around the compensation structure and the factors influencing individual remuneration may help mitigate perceived disparities [8].</w:t>
      </w:r>
    </w:p>
    <w:p w14:paraId="76D68D81" w14:textId="77777777" w:rsidR="00974F1B" w:rsidRPr="00974F1B" w:rsidRDefault="00974F1B" w:rsidP="00974F1B">
      <w:pPr>
        <w:pStyle w:val="2"/>
        <w:numPr>
          <w:ilvl w:val="1"/>
          <w:numId w:val="9"/>
        </w:numPr>
        <w:ind w:left="420" w:hanging="420"/>
      </w:pPr>
      <w:r w:rsidRPr="00974F1B">
        <w:t>Summary</w:t>
      </w:r>
    </w:p>
    <w:p w14:paraId="1FFF8FB7" w14:textId="77777777" w:rsidR="00974F1B" w:rsidRPr="00974F1B" w:rsidRDefault="00974F1B" w:rsidP="00974F1B">
      <w:pPr>
        <w:pStyle w:val="TTPParagraphothers"/>
      </w:pPr>
      <w:r w:rsidRPr="00974F1B">
        <w:t>Tencent Corporation faces multifaceted challenges in its current approach to compensation management. Addressing the misalignment between compensation and job satisfaction, reinvigorating employee motivation and commitment, and ensuring equity in compensation across departments are crucial steps for Tencent to maintain its competitive edge in the ever-evolving technology industry. Recognizing and adapting to the evolving expectations of its workforce will be essential for Tencent's sustained success.</w:t>
      </w:r>
    </w:p>
    <w:p w14:paraId="2A393114" w14:textId="77777777" w:rsidR="00974F1B" w:rsidRPr="00974F1B" w:rsidRDefault="00974F1B" w:rsidP="00974F1B">
      <w:pPr>
        <w:pStyle w:val="1"/>
        <w:numPr>
          <w:ilvl w:val="0"/>
          <w:numId w:val="9"/>
        </w:numPr>
        <w:ind w:left="420" w:hanging="420"/>
      </w:pPr>
      <w:r w:rsidRPr="00974F1B">
        <w:t xml:space="preserve">Suggestions </w:t>
      </w:r>
    </w:p>
    <w:p w14:paraId="6F1C9EAF" w14:textId="77777777" w:rsidR="00974F1B" w:rsidRPr="00974F1B" w:rsidRDefault="00974F1B" w:rsidP="00974F1B">
      <w:pPr>
        <w:pStyle w:val="2"/>
        <w:numPr>
          <w:ilvl w:val="1"/>
          <w:numId w:val="9"/>
        </w:numPr>
        <w:ind w:left="420" w:hanging="420"/>
      </w:pPr>
      <w:r w:rsidRPr="00974F1B">
        <w:t>Strategies to Address Inadequate Alignment Between Compensation and Employee Job Satisfaction</w:t>
      </w:r>
    </w:p>
    <w:p w14:paraId="38009849" w14:textId="77777777" w:rsidR="00974F1B" w:rsidRPr="00974F1B" w:rsidRDefault="00974F1B" w:rsidP="00974F1B">
      <w:pPr>
        <w:pStyle w:val="3"/>
      </w:pPr>
      <w:r w:rsidRPr="00974F1B">
        <w:t>4.1.1 Implement tailored compensation packages</w:t>
      </w:r>
    </w:p>
    <w:p w14:paraId="09DEF3FA" w14:textId="77777777" w:rsidR="00974F1B" w:rsidRPr="00974F1B" w:rsidRDefault="00974F1B" w:rsidP="00974F1B">
      <w:pPr>
        <w:pStyle w:val="TTPParagraphothers"/>
      </w:pPr>
      <w:r w:rsidRPr="00974F1B">
        <w:t>To address the misalignment between compensation and job satisfaction, Tencent should consider implementing tailored compensation packages. These packages can be designed to accommodate the diverse needs and preferences of employees, taking into account individual career aspirations, professional development goals, and lifestyle considerations. By offering personalized compensation options, Tencent can enhance overall job satisfaction [9].</w:t>
      </w:r>
    </w:p>
    <w:p w14:paraId="49426DED" w14:textId="77777777" w:rsidR="00974F1B" w:rsidRPr="00974F1B" w:rsidRDefault="00974F1B" w:rsidP="00974F1B">
      <w:pPr>
        <w:pStyle w:val="3"/>
      </w:pPr>
      <w:r w:rsidRPr="00974F1B">
        <w:t>4.1.2 Conduct regular employee feedback sessions</w:t>
      </w:r>
    </w:p>
    <w:p w14:paraId="147FE81B" w14:textId="77777777" w:rsidR="00974F1B" w:rsidRPr="00974F1B" w:rsidRDefault="00974F1B" w:rsidP="00974F1B">
      <w:pPr>
        <w:pStyle w:val="TTPParagraphothers"/>
      </w:pPr>
      <w:r w:rsidRPr="00974F1B">
        <w:t>Regular feedback sessions can be instrumental in identifying areas where the compensation structure may fall short of meeting employee expectations. Tencent should establish a systematic approach for conducting regular feedback sessions, allowing employees to express their views on compensation and suggest improvements. This two-way communication can foster a sense of inclusivity and ensure that the compensation structure evolves in line with changing needs.</w:t>
      </w:r>
    </w:p>
    <w:p w14:paraId="09F80078" w14:textId="77777777" w:rsidR="00974F1B" w:rsidRPr="00974F1B" w:rsidRDefault="00974F1B" w:rsidP="00974F1B">
      <w:pPr>
        <w:pStyle w:val="3"/>
      </w:pPr>
      <w:r w:rsidRPr="00974F1B">
        <w:lastRenderedPageBreak/>
        <w:t>4.1.3 Integrate non-monetary incentives</w:t>
      </w:r>
    </w:p>
    <w:p w14:paraId="0A36B8F7" w14:textId="77777777" w:rsidR="00974F1B" w:rsidRPr="00974F1B" w:rsidRDefault="00974F1B" w:rsidP="00974F1B">
      <w:pPr>
        <w:pStyle w:val="TTPParagraphothers"/>
      </w:pPr>
      <w:r w:rsidRPr="00974F1B">
        <w:t>In addition to financial rewards, Tencent should explore the integration of non-monetary incentives. Acknowledging the importance of work-life balance, professional growth, and a positive work environment, non-monetary incentives such as flexible work arrangements, career development opportunities, and employee well-being programs can contribute to a more holistic approach to job satisfaction.</w:t>
      </w:r>
    </w:p>
    <w:p w14:paraId="70628623" w14:textId="77777777" w:rsidR="00974F1B" w:rsidRPr="00974F1B" w:rsidRDefault="00974F1B" w:rsidP="00974F1B">
      <w:pPr>
        <w:pStyle w:val="2"/>
        <w:numPr>
          <w:ilvl w:val="1"/>
          <w:numId w:val="9"/>
        </w:numPr>
        <w:ind w:left="420" w:hanging="420"/>
      </w:pPr>
      <w:r w:rsidRPr="00974F1B">
        <w:t>Strategies to Address Erosion of Employee Motivation and Commitment</w:t>
      </w:r>
    </w:p>
    <w:p w14:paraId="0EC0E594" w14:textId="77777777" w:rsidR="00974F1B" w:rsidRPr="00974F1B" w:rsidRDefault="00974F1B" w:rsidP="00974F1B">
      <w:pPr>
        <w:pStyle w:val="3"/>
      </w:pPr>
      <w:r w:rsidRPr="00974F1B">
        <w:t>4.2.1 Establish a mentorship program</w:t>
      </w:r>
    </w:p>
    <w:p w14:paraId="193411CB" w14:textId="77777777" w:rsidR="00974F1B" w:rsidRPr="00974F1B" w:rsidRDefault="00974F1B" w:rsidP="00974F1B">
      <w:pPr>
        <w:pStyle w:val="TTPParagraphothers"/>
      </w:pPr>
      <w:r w:rsidRPr="00974F1B">
        <w:t>To counteract the erosion of employee motivation and commitment, Tencent can establish a mentorship program. Pairing experienced employees with newer hires can facilitate knowledge transfer, professional growth, and a sense of belonging. Mentorship programs contribute to a supportive workplace culture and foster a commitment to long-term career development.</w:t>
      </w:r>
    </w:p>
    <w:p w14:paraId="7D9B66F8" w14:textId="77777777" w:rsidR="00974F1B" w:rsidRPr="00974F1B" w:rsidRDefault="00974F1B" w:rsidP="00974F1B">
      <w:pPr>
        <w:pStyle w:val="3"/>
      </w:pPr>
      <w:r w:rsidRPr="00974F1B">
        <w:t>4.2.2 Strengthen recognition and appreciation practices</w:t>
      </w:r>
    </w:p>
    <w:p w14:paraId="4DCA2A36" w14:textId="77777777" w:rsidR="00974F1B" w:rsidRPr="00974F1B" w:rsidRDefault="00974F1B" w:rsidP="00974F1B">
      <w:pPr>
        <w:pStyle w:val="TTPParagraphothers"/>
      </w:pPr>
      <w:r w:rsidRPr="00974F1B">
        <w:t>Fostering a culture of recognition and appreciation is vital for sustaining employee motivation. Tencent should strengthen its recognition practices by implementing regular employee recognition programs, acknowledging achievements, and creating a platform for peers to express appreciation. Recognized employees are more likely to feel valued and remain committed to the organization.</w:t>
      </w:r>
    </w:p>
    <w:p w14:paraId="5FC225AB" w14:textId="77777777" w:rsidR="00974F1B" w:rsidRPr="00974F1B" w:rsidRDefault="00974F1B" w:rsidP="00974F1B">
      <w:pPr>
        <w:pStyle w:val="3"/>
      </w:pPr>
      <w:r w:rsidRPr="00974F1B">
        <w:t>4.2.3 Invest in continuous learning opportunities</w:t>
      </w:r>
    </w:p>
    <w:p w14:paraId="362BF8F9" w14:textId="77777777" w:rsidR="00974F1B" w:rsidRPr="00974F1B" w:rsidRDefault="00974F1B" w:rsidP="00974F1B">
      <w:pPr>
        <w:pStyle w:val="TTPParagraphothers"/>
      </w:pPr>
      <w:r w:rsidRPr="00974F1B">
        <w:t>A commitment to continuous learning serves as a pivotal catalyst for sustaining employee motivation and fostering a culture of ongoing development within Tencent. To fortify this commitment, Tencent can strategically invest in expansive training programs, interactive workshops, and targeted skill development initiatives. These initiatives are designed not only to meet the evolving needs of the workforce but also to create an environment where employees are consistently presented with opportunities for growth and improvement. Training programs can encompass a spectrum of topics, ranging from technical skills to soft skills, ensuring a well-rounded approach to employee development. By offering diverse learning opportunities, Tencent empowers its workforce to acquire new competencies, adapt to emerging industry trends, and contribute meaningfully to the company's innovation agenda. Interactive workshops can provide employees with hands-on experiences, encouraging collaboration and knowledge-sharing among peers. Tencent can leverage internal expertise and external resources to create engaging workshops that address specific challenges within the organization or explore emerging technologies and industry best practices. This collaborative learning approach not only enhances individual skill sets but also contributes to a culture of shared knowledge and collective growth. Skill development initiatives can be tailored to align with both individual career aspirations and the strategic goals of Tencent. Whether through certification programs, mentorship opportunities, or leadership development tracks, Tencent can demonstrate a genuine commitment to nurturing the talents and ambitions of its employees. These initiatives not only contribute to the professional advancement of individuals but also reinforce Tencent's position as an employer of choice dedicated to supporting the holistic development of its workforce. Tencent's investment in continuous learning initiatives stands as a testament to its commitment to employee development and motivation. By providing diverse and meaningful learning opportunities, Tencent can create an environment where employees feel empowered, engaged, and motivated to contribute their best to the organization's success. This proactive approach not only enhances individual capabilities but also cultivates a culture of innovation, adaptability, and continuous improvement within Tencent.</w:t>
      </w:r>
    </w:p>
    <w:p w14:paraId="4FFB38DB" w14:textId="77777777" w:rsidR="00974F1B" w:rsidRPr="00974F1B" w:rsidRDefault="00974F1B" w:rsidP="00974F1B">
      <w:pPr>
        <w:pStyle w:val="2"/>
        <w:numPr>
          <w:ilvl w:val="1"/>
          <w:numId w:val="9"/>
        </w:numPr>
        <w:ind w:left="420" w:hanging="420"/>
      </w:pPr>
      <w:r w:rsidRPr="00974F1B">
        <w:lastRenderedPageBreak/>
        <w:t>Strategies to Address Disparities in Compensation Equity Across Departments</w:t>
      </w:r>
    </w:p>
    <w:p w14:paraId="73C0FF93" w14:textId="77777777" w:rsidR="00974F1B" w:rsidRPr="00974F1B" w:rsidRDefault="00974F1B" w:rsidP="00974F1B">
      <w:pPr>
        <w:pStyle w:val="3"/>
      </w:pPr>
      <w:r w:rsidRPr="00974F1B">
        <w:t>4.3.1 Conduct a comprehensive compensation review</w:t>
      </w:r>
    </w:p>
    <w:p w14:paraId="4E199852" w14:textId="77777777" w:rsidR="00974F1B" w:rsidRPr="00974F1B" w:rsidRDefault="00974F1B" w:rsidP="00974F1B">
      <w:pPr>
        <w:pStyle w:val="TTPParagraphothers"/>
      </w:pPr>
      <w:r w:rsidRPr="00974F1B">
        <w:t>To address disparities in compensation equity, Tencent should conduct a comprehensive compensation review across all departments. This review should include a thorough analysis of job roles, responsibilities, and market benchmarks to ensure fairness. Adjustments can be made where necessary to align compensation with industry standards and internal equity considerations.</w:t>
      </w:r>
    </w:p>
    <w:p w14:paraId="46F56D9C" w14:textId="77777777" w:rsidR="00974F1B" w:rsidRPr="00974F1B" w:rsidRDefault="00974F1B" w:rsidP="00974F1B">
      <w:pPr>
        <w:pStyle w:val="3"/>
      </w:pPr>
      <w:r w:rsidRPr="00974F1B">
        <w:t>4.3.2 Enhance communication and transparency</w:t>
      </w:r>
    </w:p>
    <w:p w14:paraId="507AE21F" w14:textId="77777777" w:rsidR="00974F1B" w:rsidRPr="00974F1B" w:rsidRDefault="00974F1B" w:rsidP="00974F1B">
      <w:pPr>
        <w:pStyle w:val="TTPParagraphothers"/>
      </w:pPr>
      <w:r w:rsidRPr="00974F1B">
        <w:t>Improving communication regarding compensation decisions is crucial for mitigating perceived disparities. Tencent should enhance transparency by clearly communicating the factors influencing compensation decisions, the criteria used for evaluations, and the overall compensation philosophy. Transparent communication builds trust and reduces the likelihood of misperceptions [10].</w:t>
      </w:r>
    </w:p>
    <w:p w14:paraId="1541A10C" w14:textId="77777777" w:rsidR="00974F1B" w:rsidRPr="00974F1B" w:rsidRDefault="00974F1B" w:rsidP="00974F1B">
      <w:pPr>
        <w:pStyle w:val="3"/>
      </w:pPr>
      <w:r w:rsidRPr="00974F1B">
        <w:t>4.3.3 Establish a compensation oversight committee</w:t>
      </w:r>
    </w:p>
    <w:p w14:paraId="11CBFE69" w14:textId="77777777" w:rsidR="00974F1B" w:rsidRPr="00974F1B" w:rsidRDefault="00974F1B" w:rsidP="00974F1B">
      <w:pPr>
        <w:pStyle w:val="TTPParagraphothers"/>
      </w:pPr>
      <w:r w:rsidRPr="00974F1B">
        <w:t>In order to perpetuate fairness and equity within Tencent's compensation system, the implementation of a Compensation Oversight Committee emerges as a strategic initiative. This committee, composed of representatives from diverse departments, seasoned HR specialists, and external experts, would be entrusted with the responsibility of routinely scrutinizing and overseeing the intricacies of the compensation structure. By adopting this proactive approach, the committee aims to swiftly identify and rectify any emerging disparities that might surface, thus upholding a steadfast commitment to maintaining a uniform and equitable compensation approach across the organization. The establishment of a Compensation Oversight Committee underscores Tencent's dedication to transparency and fairness in its remuneration practices. The committee's multidisciplinary composition ensures a comprehensive evaluation, considering perspectives from various departments and leveraging the expertise of external specialists. This collaborative approach is crucial in navigating the complexities of compensation structures and fostering an inclusive decision-making process. Regular reviews conducted by the committee will serve as a preventive measure against potential disparities, allowing for timely adjustments and refinements to the compensation framework. By proactively addressing any emerging issues, Tencent can uphold its commitment to creating a workplace where employees perceive compensation as fair, thereby contributing to enhanced job satisfaction, motivation, and overall organizational performance. Furthermore, the Compensation Oversight Committee can act as a platform for communication and feedback between employees and the management. By providing employees with a channel to voice their concerns or suggestions regarding compensation, Tencent fosters an inclusive and participatory culture. This two-way communication mechanism is pivotal in building trust and strengthening the employer-employee relationship. The establishment of a Compensation Oversight Committee at Tencent signifies a strategic step towards sustaining fairness, equity, and transparency in its compensation practices. This proactive approach not only aligns with industry best practices but also reinforces Tencent's commitment to cultivating a workplace where employees feel valued, motivated, and treated equitably. Through ongoing reviews and adjustments, Tencent can navigate the dynamic landscape of compensation management, ensuring its practices remain reflective of its core values and conducive to organizational success.</w:t>
      </w:r>
    </w:p>
    <w:p w14:paraId="59EBCCB2" w14:textId="77777777" w:rsidR="00974F1B" w:rsidRPr="00974F1B" w:rsidRDefault="00974F1B" w:rsidP="00974F1B">
      <w:pPr>
        <w:pStyle w:val="2"/>
        <w:numPr>
          <w:ilvl w:val="1"/>
          <w:numId w:val="9"/>
        </w:numPr>
        <w:ind w:left="420" w:hanging="420"/>
      </w:pPr>
      <w:r w:rsidRPr="00974F1B">
        <w:t>Summary</w:t>
      </w:r>
    </w:p>
    <w:p w14:paraId="4618BE9A" w14:textId="77777777" w:rsidR="00974F1B" w:rsidRPr="00974F1B" w:rsidRDefault="00974F1B" w:rsidP="00974F1B">
      <w:pPr>
        <w:pStyle w:val="TTPParagraphothers"/>
      </w:pPr>
      <w:r w:rsidRPr="00974F1B">
        <w:t xml:space="preserve">Tencent can optimize its compensation management by implementing a multifaceted strategy. Tailoring compensation packages, conducting regular feedback sessions, integrating non-monetary incentives, establishing mentorship programs, strengthening recognition practices, investing in continuous learning, conducting a comprehensive compensation review, enhancing communication and transparency, and establishing a Compensation Oversight Committee collectively form a comprehensive set of strategies to address the identified issues and foster a more effective and </w:t>
      </w:r>
      <w:r w:rsidRPr="00974F1B">
        <w:lastRenderedPageBreak/>
        <w:t>equitable compensation system. These strategies align with the goal of enhancing employee satisfaction, motivation, and commitment across Tencent's diverse workforce.</w:t>
      </w:r>
    </w:p>
    <w:p w14:paraId="3E54F00A" w14:textId="77777777" w:rsidR="00974F1B" w:rsidRPr="00974F1B" w:rsidRDefault="00974F1B" w:rsidP="00974F1B">
      <w:pPr>
        <w:pStyle w:val="1"/>
        <w:numPr>
          <w:ilvl w:val="0"/>
          <w:numId w:val="9"/>
        </w:numPr>
        <w:ind w:left="420" w:hanging="420"/>
      </w:pPr>
      <w:r w:rsidRPr="00974F1B">
        <w:t>Conclusion</w:t>
      </w:r>
    </w:p>
    <w:p w14:paraId="5B897E28" w14:textId="77777777" w:rsidR="00974F1B" w:rsidRPr="00974F1B" w:rsidRDefault="00974F1B" w:rsidP="00974F1B">
      <w:pPr>
        <w:pStyle w:val="2"/>
        <w:numPr>
          <w:ilvl w:val="1"/>
          <w:numId w:val="9"/>
        </w:numPr>
        <w:ind w:left="420" w:hanging="420"/>
      </w:pPr>
      <w:r w:rsidRPr="00974F1B">
        <w:t>Key Findings</w:t>
      </w:r>
    </w:p>
    <w:p w14:paraId="44B9AC28" w14:textId="77777777" w:rsidR="00974F1B" w:rsidRPr="00974F1B" w:rsidRDefault="00974F1B" w:rsidP="00974F1B">
      <w:pPr>
        <w:pStyle w:val="TTPParagraphothers"/>
      </w:pPr>
      <w:r w:rsidRPr="00974F1B">
        <w:t>In summary, the analysis of the problem revealed critical insights into the impact of employee psychological factors on Tencent's compensation management. The study identified key issues, including inadequate alignment between compensation and job satisfaction, erosion of employee motivation and commitment, and disparities in compensation equity across departments. The suggested strategies, ranging from tailored compensation packages to the establishment of a Compensation Oversight Committee, provide a comprehensive framework for addressing these challenges and optimizing Tencent's compensation structure.</w:t>
      </w:r>
    </w:p>
    <w:p w14:paraId="220E5C64" w14:textId="77777777" w:rsidR="00974F1B" w:rsidRPr="00974F1B" w:rsidRDefault="00974F1B" w:rsidP="00974F1B">
      <w:pPr>
        <w:pStyle w:val="2"/>
        <w:numPr>
          <w:ilvl w:val="1"/>
          <w:numId w:val="9"/>
        </w:numPr>
        <w:ind w:left="420" w:hanging="420"/>
      </w:pPr>
      <w:r w:rsidRPr="00974F1B">
        <w:t>Research Significance</w:t>
      </w:r>
    </w:p>
    <w:p w14:paraId="1BFB2459" w14:textId="77777777" w:rsidR="00974F1B" w:rsidRPr="00974F1B" w:rsidRDefault="00974F1B" w:rsidP="00974F1B">
      <w:pPr>
        <w:pStyle w:val="TTPParagraphothers"/>
      </w:pPr>
      <w:r w:rsidRPr="00974F1B">
        <w:t>This research holds substantial business value for Tencent and the broader industry. By delving into the intricate relationship between employee psychological factors and compensation management, the study provides actionable recommendations to enhance employee satisfaction, motivation, and commitment. Implementing these strategies not only improves Tencent's organizational dynamics but also sets a precedent for industry-wide best practices in talent management. The significance lies in fostering a work environment that aligns employee expectations with compensation structures, contributing to sustainable employee engagement and, consequently, overall organizational success.</w:t>
      </w:r>
    </w:p>
    <w:p w14:paraId="0CAE30C5" w14:textId="77777777" w:rsidR="00974F1B" w:rsidRPr="00974F1B" w:rsidRDefault="00974F1B" w:rsidP="00974F1B">
      <w:pPr>
        <w:pStyle w:val="2"/>
        <w:numPr>
          <w:ilvl w:val="1"/>
          <w:numId w:val="9"/>
        </w:numPr>
        <w:ind w:left="420" w:hanging="420"/>
      </w:pPr>
      <w:r w:rsidRPr="00974F1B">
        <w:t>Limitations and Future Studies</w:t>
      </w:r>
    </w:p>
    <w:p w14:paraId="11919F28" w14:textId="77777777" w:rsidR="00974F1B" w:rsidRPr="00974F1B" w:rsidRDefault="00974F1B" w:rsidP="00974F1B">
      <w:pPr>
        <w:pStyle w:val="TTPParagraphothers"/>
      </w:pPr>
      <w:r w:rsidRPr="00974F1B">
        <w:t>Despite the valuable insights gained, this study has limitations, primarily rooted in the reliance on secondary data and information. Future studies could benefit from incorporating primary data through surveys, interviews, or firsthand observations to enrich the depth of analysis. Additionally, the scope of this study focused on Tencent, and extending the research to encompass a broader sample of companies within the technology sector could provide a more comprehensive understanding of the interplay between employee psychology and compensation management.</w:t>
      </w:r>
    </w:p>
    <w:p w14:paraId="1A936DBE" w14:textId="77777777" w:rsidR="00974F1B" w:rsidRPr="00974F1B" w:rsidRDefault="00974F1B" w:rsidP="00974F1B">
      <w:pPr>
        <w:pStyle w:val="1"/>
      </w:pPr>
      <w:r w:rsidRPr="00974F1B">
        <w:t>References</w:t>
      </w:r>
    </w:p>
    <w:p w14:paraId="24E5CBF2" w14:textId="3F8F132D" w:rsidR="00974F1B" w:rsidRPr="00974F1B" w:rsidRDefault="00974F1B" w:rsidP="00974F1B">
      <w:pPr>
        <w:pStyle w:val="Reference"/>
        <w:numPr>
          <w:ilvl w:val="0"/>
          <w:numId w:val="2"/>
        </w:numPr>
        <w:tabs>
          <w:tab w:val="left" w:pos="426"/>
        </w:tabs>
        <w:spacing w:after="60"/>
        <w:rPr>
          <w:sz w:val="22"/>
          <w:szCs w:val="24"/>
        </w:rPr>
      </w:pPr>
      <w:r w:rsidRPr="00974F1B">
        <w:rPr>
          <w:sz w:val="22"/>
          <w:szCs w:val="24"/>
        </w:rPr>
        <w:t>Locke, Edwin A. Toward a theory of task motivation and incentives. Organizational behavior and human performance, 1968, 3</w:t>
      </w:r>
      <w:r w:rsidR="00AC47E2">
        <w:rPr>
          <w:sz w:val="22"/>
          <w:szCs w:val="24"/>
        </w:rPr>
        <w:t xml:space="preserve"> </w:t>
      </w:r>
      <w:r w:rsidRPr="00974F1B">
        <w:rPr>
          <w:sz w:val="22"/>
          <w:szCs w:val="24"/>
        </w:rPr>
        <w:t xml:space="preserve">(2): 157-189. </w:t>
      </w:r>
    </w:p>
    <w:p w14:paraId="1ECDC60D" w14:textId="6EDF82C8" w:rsidR="00974F1B" w:rsidRPr="00974F1B" w:rsidRDefault="00974F1B" w:rsidP="00974F1B">
      <w:pPr>
        <w:pStyle w:val="Reference"/>
        <w:numPr>
          <w:ilvl w:val="0"/>
          <w:numId w:val="2"/>
        </w:numPr>
        <w:tabs>
          <w:tab w:val="left" w:pos="426"/>
        </w:tabs>
        <w:spacing w:after="60"/>
        <w:rPr>
          <w:sz w:val="22"/>
          <w:szCs w:val="24"/>
        </w:rPr>
      </w:pPr>
      <w:r w:rsidRPr="00974F1B">
        <w:rPr>
          <w:sz w:val="22"/>
          <w:szCs w:val="24"/>
        </w:rPr>
        <w:t>Lawler, Edward E., and Lyman W. Porter. The effect of performance on job satisfaction. Industrial relations, 1967, 7</w:t>
      </w:r>
      <w:r w:rsidR="00AC47E2">
        <w:rPr>
          <w:sz w:val="22"/>
          <w:szCs w:val="24"/>
        </w:rPr>
        <w:t xml:space="preserve"> </w:t>
      </w:r>
      <w:r w:rsidRPr="00974F1B">
        <w:rPr>
          <w:sz w:val="22"/>
          <w:szCs w:val="24"/>
        </w:rPr>
        <w:t>(1), 20-28.</w:t>
      </w:r>
    </w:p>
    <w:p w14:paraId="5733B0F8" w14:textId="4ECD0103" w:rsidR="00974F1B" w:rsidRPr="00974F1B" w:rsidRDefault="00974F1B" w:rsidP="00974F1B">
      <w:pPr>
        <w:pStyle w:val="Reference"/>
        <w:numPr>
          <w:ilvl w:val="0"/>
          <w:numId w:val="2"/>
        </w:numPr>
        <w:tabs>
          <w:tab w:val="left" w:pos="426"/>
        </w:tabs>
        <w:spacing w:after="60"/>
        <w:rPr>
          <w:sz w:val="22"/>
          <w:szCs w:val="24"/>
        </w:rPr>
      </w:pPr>
      <w:r w:rsidRPr="00974F1B">
        <w:rPr>
          <w:sz w:val="22"/>
          <w:szCs w:val="24"/>
        </w:rPr>
        <w:t>Luthans, Fred, Carolyn M. Youssef, and Bruce J. Avolio. Psychological capital: Developing the human competitive edge. Oxford University Press, 2020: 115-137</w:t>
      </w:r>
      <w:r w:rsidR="00AC47E2">
        <w:rPr>
          <w:rFonts w:hint="eastAsia"/>
          <w:sz w:val="22"/>
          <w:szCs w:val="24"/>
          <w:lang w:eastAsia="zh-CN"/>
        </w:rPr>
        <w:t>.</w:t>
      </w:r>
    </w:p>
    <w:p w14:paraId="75190889" w14:textId="29ACAA61" w:rsidR="00974F1B" w:rsidRPr="00974F1B" w:rsidRDefault="00974F1B" w:rsidP="00974F1B">
      <w:pPr>
        <w:pStyle w:val="Reference"/>
        <w:numPr>
          <w:ilvl w:val="0"/>
          <w:numId w:val="2"/>
        </w:numPr>
        <w:tabs>
          <w:tab w:val="left" w:pos="426"/>
        </w:tabs>
        <w:spacing w:after="60"/>
        <w:rPr>
          <w:sz w:val="22"/>
          <w:szCs w:val="24"/>
        </w:rPr>
      </w:pPr>
      <w:r w:rsidRPr="00974F1B">
        <w:rPr>
          <w:sz w:val="22"/>
          <w:szCs w:val="24"/>
        </w:rPr>
        <w:t>Abraham, Maslow. A theory of human motivation. Psychological Review, 2000, 50</w:t>
      </w:r>
      <w:r w:rsidR="00AC47E2">
        <w:rPr>
          <w:sz w:val="22"/>
          <w:szCs w:val="24"/>
        </w:rPr>
        <w:t xml:space="preserve"> </w:t>
      </w:r>
      <w:r w:rsidRPr="00974F1B">
        <w:rPr>
          <w:sz w:val="22"/>
          <w:szCs w:val="24"/>
        </w:rPr>
        <w:t>(4), 370–396.</w:t>
      </w:r>
    </w:p>
    <w:p w14:paraId="5C6965EE" w14:textId="77777777" w:rsidR="00974F1B" w:rsidRPr="00974F1B" w:rsidRDefault="00974F1B" w:rsidP="00974F1B">
      <w:pPr>
        <w:pStyle w:val="Reference"/>
        <w:numPr>
          <w:ilvl w:val="0"/>
          <w:numId w:val="2"/>
        </w:numPr>
        <w:tabs>
          <w:tab w:val="left" w:pos="426"/>
        </w:tabs>
        <w:spacing w:after="60"/>
        <w:rPr>
          <w:sz w:val="22"/>
          <w:szCs w:val="24"/>
        </w:rPr>
      </w:pPr>
      <w:r w:rsidRPr="00974F1B">
        <w:rPr>
          <w:sz w:val="22"/>
          <w:szCs w:val="24"/>
        </w:rPr>
        <w:t>Herzberg, Frederick., Mausner, B., &amp; Snyderman, B. The Motivation to Work. Wiley, 1959.</w:t>
      </w:r>
    </w:p>
    <w:p w14:paraId="52784688" w14:textId="6011205B" w:rsidR="00974F1B" w:rsidRPr="00974F1B" w:rsidRDefault="00974F1B" w:rsidP="00974F1B">
      <w:pPr>
        <w:pStyle w:val="Reference"/>
        <w:numPr>
          <w:ilvl w:val="0"/>
          <w:numId w:val="2"/>
        </w:numPr>
        <w:tabs>
          <w:tab w:val="left" w:pos="426"/>
        </w:tabs>
        <w:spacing w:after="60"/>
        <w:rPr>
          <w:sz w:val="22"/>
          <w:szCs w:val="24"/>
        </w:rPr>
      </w:pPr>
      <w:r w:rsidRPr="00974F1B">
        <w:rPr>
          <w:sz w:val="22"/>
          <w:szCs w:val="24"/>
        </w:rPr>
        <w:t>Vroom, Victor Harold. Work and Motivation. Wiley, 1964</w:t>
      </w:r>
      <w:r w:rsidR="00AC47E2">
        <w:rPr>
          <w:sz w:val="22"/>
          <w:szCs w:val="24"/>
        </w:rPr>
        <w:t>.</w:t>
      </w:r>
    </w:p>
    <w:p w14:paraId="6B36BEE6" w14:textId="0C132A17" w:rsidR="00974F1B" w:rsidRPr="00974F1B" w:rsidRDefault="00974F1B" w:rsidP="00974F1B">
      <w:pPr>
        <w:pStyle w:val="Reference"/>
        <w:numPr>
          <w:ilvl w:val="0"/>
          <w:numId w:val="2"/>
        </w:numPr>
        <w:tabs>
          <w:tab w:val="left" w:pos="426"/>
        </w:tabs>
        <w:spacing w:after="60"/>
        <w:rPr>
          <w:sz w:val="22"/>
          <w:szCs w:val="24"/>
        </w:rPr>
      </w:pPr>
      <w:r w:rsidRPr="00974F1B">
        <w:rPr>
          <w:sz w:val="22"/>
          <w:szCs w:val="24"/>
        </w:rPr>
        <w:t>Deci, Edward L., Richard Koestner, and Richard M. Ryan. A meta-analytic review of experiments examining the effects of extrinsic rewards on intrinsic motivation. Psychological Bulletin, 1999, 125</w:t>
      </w:r>
      <w:r w:rsidR="00AC47E2">
        <w:rPr>
          <w:sz w:val="22"/>
          <w:szCs w:val="24"/>
        </w:rPr>
        <w:t xml:space="preserve"> </w:t>
      </w:r>
      <w:r w:rsidRPr="00974F1B">
        <w:rPr>
          <w:sz w:val="22"/>
          <w:szCs w:val="24"/>
        </w:rPr>
        <w:t>(6), 627-668.</w:t>
      </w:r>
    </w:p>
    <w:p w14:paraId="2E46622F" w14:textId="77777777" w:rsidR="00974F1B" w:rsidRPr="00974F1B" w:rsidRDefault="00974F1B" w:rsidP="00974F1B">
      <w:pPr>
        <w:pStyle w:val="Reference"/>
        <w:numPr>
          <w:ilvl w:val="0"/>
          <w:numId w:val="2"/>
        </w:numPr>
        <w:tabs>
          <w:tab w:val="left" w:pos="426"/>
        </w:tabs>
        <w:spacing w:after="60"/>
        <w:rPr>
          <w:sz w:val="22"/>
          <w:szCs w:val="24"/>
        </w:rPr>
      </w:pPr>
      <w:r w:rsidRPr="00974F1B">
        <w:rPr>
          <w:sz w:val="22"/>
          <w:szCs w:val="24"/>
        </w:rPr>
        <w:t>Lawler, E. E. Pay and organizational effectiveness: A psychological view. McGraw-Hill, 1971.</w:t>
      </w:r>
    </w:p>
    <w:p w14:paraId="5D317CD0" w14:textId="56425E77" w:rsidR="00974F1B" w:rsidRPr="00974F1B" w:rsidRDefault="00974F1B" w:rsidP="00974F1B">
      <w:pPr>
        <w:pStyle w:val="Reference"/>
        <w:numPr>
          <w:ilvl w:val="0"/>
          <w:numId w:val="2"/>
        </w:numPr>
        <w:tabs>
          <w:tab w:val="left" w:pos="426"/>
        </w:tabs>
        <w:spacing w:after="60"/>
        <w:rPr>
          <w:sz w:val="22"/>
          <w:szCs w:val="24"/>
        </w:rPr>
      </w:pPr>
      <w:r w:rsidRPr="00974F1B">
        <w:rPr>
          <w:sz w:val="22"/>
          <w:szCs w:val="24"/>
        </w:rPr>
        <w:t>Colquitt, Jason A., and Marcia J. Simmering. Conscientiousness, goal orientation, and motivation to learn during the learning process: A longitudinal study. Journal of Applied Psychology, 1988, 83</w:t>
      </w:r>
      <w:r w:rsidR="00AC47E2">
        <w:rPr>
          <w:sz w:val="22"/>
          <w:szCs w:val="24"/>
        </w:rPr>
        <w:t xml:space="preserve"> </w:t>
      </w:r>
      <w:r w:rsidRPr="00974F1B">
        <w:rPr>
          <w:sz w:val="22"/>
          <w:szCs w:val="24"/>
        </w:rPr>
        <w:t>(4), 654–665.</w:t>
      </w:r>
    </w:p>
    <w:p w14:paraId="16DC6C68" w14:textId="4B2ED837" w:rsidR="005E70BE" w:rsidRPr="00974F1B" w:rsidRDefault="00974F1B" w:rsidP="00974F1B">
      <w:pPr>
        <w:pStyle w:val="Reference"/>
        <w:numPr>
          <w:ilvl w:val="0"/>
          <w:numId w:val="2"/>
        </w:numPr>
        <w:tabs>
          <w:tab w:val="left" w:pos="426"/>
        </w:tabs>
        <w:spacing w:after="60"/>
        <w:rPr>
          <w:sz w:val="22"/>
          <w:szCs w:val="24"/>
        </w:rPr>
      </w:pPr>
      <w:r w:rsidRPr="00974F1B">
        <w:rPr>
          <w:sz w:val="22"/>
          <w:szCs w:val="24"/>
        </w:rPr>
        <w:lastRenderedPageBreak/>
        <w:t>Latham, Gary P., and Gary A. Yukl. A review of research on the application of goal setting in organizations. Academy of Management Journal, 1975, 18</w:t>
      </w:r>
      <w:r w:rsidR="00AC47E2">
        <w:rPr>
          <w:sz w:val="22"/>
          <w:szCs w:val="24"/>
        </w:rPr>
        <w:t xml:space="preserve"> </w:t>
      </w:r>
      <w:r w:rsidRPr="00974F1B">
        <w:rPr>
          <w:sz w:val="22"/>
          <w:szCs w:val="24"/>
        </w:rPr>
        <w:t>(4), 824–845.</w:t>
      </w:r>
    </w:p>
    <w:sectPr w:rsidR="005E70BE" w:rsidRPr="00974F1B" w:rsidSect="00DB39DE">
      <w:headerReference w:type="even" r:id="rId8"/>
      <w:headerReference w:type="default" r:id="rId9"/>
      <w:footerReference w:type="default" r:id="rId10"/>
      <w:pgSz w:w="11907" w:h="16840" w:code="9"/>
      <w:pgMar w:top="1701" w:right="1134" w:bottom="851" w:left="1134" w:header="850" w:footer="425" w:gutter="0"/>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CAC46" w14:textId="77777777" w:rsidR="00334C45" w:rsidRDefault="00334C45" w:rsidP="0007556F">
      <w:r>
        <w:separator/>
      </w:r>
    </w:p>
  </w:endnote>
  <w:endnote w:type="continuationSeparator" w:id="0">
    <w:p w14:paraId="217F8A7F" w14:textId="77777777" w:rsidR="00334C45" w:rsidRDefault="00334C45" w:rsidP="0007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617587"/>
      <w:docPartObj>
        <w:docPartGallery w:val="Page Numbers (Bottom of Page)"/>
        <w:docPartUnique/>
      </w:docPartObj>
    </w:sdtPr>
    <w:sdtEndPr/>
    <w:sdtContent>
      <w:p w14:paraId="6E4FB629" w14:textId="745878A9" w:rsidR="00327641" w:rsidRPr="00327641" w:rsidRDefault="00327641" w:rsidP="00327641">
        <w:pPr>
          <w:pStyle w:val="a5"/>
          <w:jc w:val="center"/>
        </w:pPr>
        <w:r>
          <w:fldChar w:fldCharType="begin"/>
        </w:r>
        <w:r>
          <w:instrText>PAGE   \* MERGEFORMAT</w:instrText>
        </w:r>
        <w:r>
          <w:fldChar w:fldCharType="separate"/>
        </w:r>
        <w:r>
          <w:rPr>
            <w:lang w:val="zh-CN" w:eastAsia="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A94A7" w14:textId="77777777" w:rsidR="00334C45" w:rsidRDefault="00334C45" w:rsidP="0007556F">
      <w:r>
        <w:separator/>
      </w:r>
    </w:p>
  </w:footnote>
  <w:footnote w:type="continuationSeparator" w:id="0">
    <w:p w14:paraId="0BD49A70" w14:textId="77777777" w:rsidR="00334C45" w:rsidRDefault="00334C45" w:rsidP="00075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7440" w14:textId="77777777" w:rsidR="003866B8" w:rsidRDefault="003866B8">
    <w:pPr>
      <w:pStyle w:val="a3"/>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242"/>
    </w:tblGrid>
    <w:tr w:rsidR="008134A3" w:rsidRPr="00624D6A" w14:paraId="18EC9B70" w14:textId="77777777" w:rsidTr="004A0600">
      <w:tc>
        <w:tcPr>
          <w:tcW w:w="5387" w:type="dxa"/>
          <w:tcBorders>
            <w:bottom w:val="single" w:sz="4" w:space="0" w:color="auto"/>
          </w:tcBorders>
        </w:tcPr>
        <w:p w14:paraId="47B2FA93" w14:textId="77777777" w:rsidR="008134A3" w:rsidRPr="00624D6A" w:rsidRDefault="008134A3" w:rsidP="008134A3">
          <w:pPr>
            <w:pStyle w:val="a3"/>
            <w:ind w:leftChars="-51" w:left="-102"/>
            <w:rPr>
              <w:sz w:val="22"/>
              <w:szCs w:val="22"/>
            </w:rPr>
          </w:pPr>
          <w:r w:rsidRPr="000E2AF9">
            <w:rPr>
              <w:sz w:val="22"/>
              <w:szCs w:val="22"/>
            </w:rPr>
            <w:t>Journal of Education, Humanities and Social Sciences</w:t>
          </w:r>
        </w:p>
      </w:tc>
      <w:tc>
        <w:tcPr>
          <w:tcW w:w="4242" w:type="dxa"/>
          <w:tcBorders>
            <w:bottom w:val="single" w:sz="4" w:space="0" w:color="auto"/>
          </w:tcBorders>
        </w:tcPr>
        <w:p w14:paraId="3843B7BD" w14:textId="77777777" w:rsidR="008134A3" w:rsidRPr="00624D6A" w:rsidRDefault="008134A3" w:rsidP="008134A3">
          <w:pPr>
            <w:pStyle w:val="a3"/>
            <w:ind w:rightChars="-59" w:right="-118"/>
            <w:jc w:val="right"/>
            <w:rPr>
              <w:b/>
              <w:sz w:val="22"/>
              <w:szCs w:val="22"/>
            </w:rPr>
          </w:pPr>
          <w:r w:rsidRPr="003C1D03">
            <w:rPr>
              <w:b/>
              <w:sz w:val="22"/>
              <w:szCs w:val="22"/>
              <w:lang w:eastAsia="zh-CN"/>
            </w:rPr>
            <w:t>ETEMSS</w:t>
          </w:r>
          <w:r w:rsidRPr="00624D6A">
            <w:rPr>
              <w:b/>
              <w:sz w:val="22"/>
              <w:szCs w:val="22"/>
            </w:rPr>
            <w:t xml:space="preserve"> 202</w:t>
          </w:r>
          <w:r>
            <w:rPr>
              <w:b/>
              <w:sz w:val="22"/>
              <w:szCs w:val="22"/>
            </w:rPr>
            <w:t>4</w:t>
          </w:r>
        </w:p>
      </w:tc>
    </w:tr>
    <w:tr w:rsidR="008134A3" w:rsidRPr="00624D6A" w14:paraId="312A1075" w14:textId="77777777" w:rsidTr="004A0600">
      <w:tc>
        <w:tcPr>
          <w:tcW w:w="5387" w:type="dxa"/>
          <w:tcBorders>
            <w:top w:val="single" w:sz="4" w:space="0" w:color="auto"/>
          </w:tcBorders>
        </w:tcPr>
        <w:p w14:paraId="4813DFFE" w14:textId="77777777" w:rsidR="008134A3" w:rsidRPr="00624D6A" w:rsidRDefault="008134A3" w:rsidP="008134A3">
          <w:pPr>
            <w:pStyle w:val="a3"/>
            <w:ind w:leftChars="-51" w:left="-102"/>
            <w:rPr>
              <w:sz w:val="22"/>
              <w:szCs w:val="22"/>
              <w:lang w:eastAsia="zh-CN"/>
            </w:rPr>
          </w:pPr>
          <w:r w:rsidRPr="00624D6A">
            <w:rPr>
              <w:sz w:val="22"/>
              <w:szCs w:val="22"/>
            </w:rPr>
            <w:t>Volume</w:t>
          </w:r>
          <w:r>
            <w:rPr>
              <w:sz w:val="22"/>
              <w:szCs w:val="22"/>
            </w:rPr>
            <w:t xml:space="preserve"> </w:t>
          </w:r>
          <w:r>
            <w:rPr>
              <w:b/>
              <w:sz w:val="22"/>
              <w:szCs w:val="22"/>
            </w:rPr>
            <w:t>35</w:t>
          </w:r>
          <w:r w:rsidRPr="00624D6A">
            <w:rPr>
              <w:sz w:val="22"/>
              <w:szCs w:val="22"/>
            </w:rPr>
            <w:t xml:space="preserve"> (202</w:t>
          </w:r>
          <w:r>
            <w:rPr>
              <w:sz w:val="22"/>
              <w:szCs w:val="22"/>
            </w:rPr>
            <w:t>4</w:t>
          </w:r>
          <w:r w:rsidRPr="00624D6A">
            <w:rPr>
              <w:sz w:val="22"/>
              <w:szCs w:val="22"/>
            </w:rPr>
            <w:t>)</w:t>
          </w:r>
        </w:p>
      </w:tc>
      <w:tc>
        <w:tcPr>
          <w:tcW w:w="4242" w:type="dxa"/>
          <w:tcBorders>
            <w:top w:val="single" w:sz="4" w:space="0" w:color="auto"/>
          </w:tcBorders>
        </w:tcPr>
        <w:p w14:paraId="3D84F7FA" w14:textId="77777777" w:rsidR="008134A3" w:rsidRPr="00624D6A" w:rsidRDefault="008134A3" w:rsidP="008134A3">
          <w:pPr>
            <w:pStyle w:val="a3"/>
            <w:ind w:rightChars="-59" w:right="-118"/>
            <w:jc w:val="right"/>
            <w:rPr>
              <w:sz w:val="22"/>
              <w:szCs w:val="22"/>
              <w:lang w:eastAsia="zh-CN"/>
            </w:rPr>
          </w:pPr>
        </w:p>
      </w:tc>
    </w:tr>
  </w:tbl>
  <w:p w14:paraId="3118C242" w14:textId="77777777" w:rsidR="003866B8" w:rsidRPr="00624D6A" w:rsidRDefault="003866B8" w:rsidP="000518B8">
    <w:pPr>
      <w:pStyle w:val="a3"/>
      <w:rPr>
        <w:rFonts w:eastAsiaTheme="minorEastAsi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40653"/>
    <w:multiLevelType w:val="hybridMultilevel"/>
    <w:tmpl w:val="8684E1CA"/>
    <w:lvl w:ilvl="0" w:tplc="387E8E42">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FD31BD4"/>
    <w:multiLevelType w:val="hybridMultilevel"/>
    <w:tmpl w:val="BE30C858"/>
    <w:lvl w:ilvl="0" w:tplc="399EB1F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12A3364"/>
    <w:multiLevelType w:val="multilevel"/>
    <w:tmpl w:val="AFC0F824"/>
    <w:lvl w:ilvl="0">
      <w:start w:val="1"/>
      <w:numFmt w:val="decimal"/>
      <w:lvlText w:val="%1."/>
      <w:lvlJc w:val="left"/>
      <w:pPr>
        <w:ind w:left="420" w:hanging="42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4CFD3A7D"/>
    <w:multiLevelType w:val="hybridMultilevel"/>
    <w:tmpl w:val="1A96362E"/>
    <w:lvl w:ilvl="0" w:tplc="D0B0865A">
      <w:start w:val="1"/>
      <w:numFmt w:val="decimal"/>
      <w:pStyle w:val="References"/>
      <w:lvlText w:val="[%1]"/>
      <w:lvlJc w:val="left"/>
      <w:pPr>
        <w:tabs>
          <w:tab w:val="num" w:pos="454"/>
        </w:tabs>
        <w:ind w:left="454" w:hanging="454"/>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24F699A"/>
    <w:multiLevelType w:val="hybridMultilevel"/>
    <w:tmpl w:val="F28804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2CA544A"/>
    <w:multiLevelType w:val="singleLevel"/>
    <w:tmpl w:val="1C6E12FA"/>
    <w:lvl w:ilvl="0">
      <w:start w:val="1"/>
      <w:numFmt w:val="decimal"/>
      <w:pStyle w:val="references0"/>
      <w:suff w:val="space"/>
      <w:lvlText w:val="[%1]"/>
      <w:lvlJc w:val="left"/>
      <w:pPr>
        <w:ind w:left="360" w:hanging="360"/>
      </w:pPr>
      <w:rPr>
        <w:rFonts w:ascii="Times New Roman" w:hAnsi="Times New Roman" w:cs="Times New Roman" w:hint="default"/>
        <w:b w:val="0"/>
        <w:bCs w:val="0"/>
        <w:i w:val="0"/>
        <w:iCs w:val="0"/>
        <w:sz w:val="24"/>
        <w:szCs w:val="16"/>
      </w:rPr>
    </w:lvl>
  </w:abstractNum>
  <w:abstractNum w:abstractNumId="6" w15:restartNumberingAfterBreak="0">
    <w:nsid w:val="5B1862F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5DFD06AB"/>
    <w:multiLevelType w:val="multilevel"/>
    <w:tmpl w:val="E18081C8"/>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7EA97FD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2"/>
  </w:num>
  <w:num w:numId="2">
    <w:abstractNumId w:val="1"/>
  </w:num>
  <w:num w:numId="3">
    <w:abstractNumId w:val="7"/>
  </w:num>
  <w:num w:numId="4">
    <w:abstractNumId w:val="4"/>
  </w:num>
  <w:num w:numId="5">
    <w:abstractNumId w:val="5"/>
  </w:num>
  <w:num w:numId="6">
    <w:abstractNumId w:val="3"/>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D4"/>
    <w:rsid w:val="0000598A"/>
    <w:rsid w:val="00012307"/>
    <w:rsid w:val="00020992"/>
    <w:rsid w:val="0003084B"/>
    <w:rsid w:val="0003530B"/>
    <w:rsid w:val="000518B8"/>
    <w:rsid w:val="00067F1A"/>
    <w:rsid w:val="00074F07"/>
    <w:rsid w:val="0007556F"/>
    <w:rsid w:val="00082B05"/>
    <w:rsid w:val="00084D38"/>
    <w:rsid w:val="00086928"/>
    <w:rsid w:val="000971D2"/>
    <w:rsid w:val="000A0A2D"/>
    <w:rsid w:val="000A1F29"/>
    <w:rsid w:val="000B52C9"/>
    <w:rsid w:val="000E2AF9"/>
    <w:rsid w:val="000E63FC"/>
    <w:rsid w:val="000F366E"/>
    <w:rsid w:val="000F6624"/>
    <w:rsid w:val="00104305"/>
    <w:rsid w:val="00121D2E"/>
    <w:rsid w:val="001234F5"/>
    <w:rsid w:val="00133B42"/>
    <w:rsid w:val="00142425"/>
    <w:rsid w:val="001449C9"/>
    <w:rsid w:val="00152DD0"/>
    <w:rsid w:val="00153AF8"/>
    <w:rsid w:val="00170F0D"/>
    <w:rsid w:val="00177BCF"/>
    <w:rsid w:val="001A7A2A"/>
    <w:rsid w:val="001C3426"/>
    <w:rsid w:val="001C6D59"/>
    <w:rsid w:val="001E41C8"/>
    <w:rsid w:val="00211DE3"/>
    <w:rsid w:val="0022742C"/>
    <w:rsid w:val="0024287D"/>
    <w:rsid w:val="0024644D"/>
    <w:rsid w:val="00251E28"/>
    <w:rsid w:val="002560DD"/>
    <w:rsid w:val="002579B6"/>
    <w:rsid w:val="002656FA"/>
    <w:rsid w:val="00281A6F"/>
    <w:rsid w:val="002A21B3"/>
    <w:rsid w:val="002B1FF3"/>
    <w:rsid w:val="002F0A76"/>
    <w:rsid w:val="002F324C"/>
    <w:rsid w:val="00302921"/>
    <w:rsid w:val="00321883"/>
    <w:rsid w:val="003228DD"/>
    <w:rsid w:val="00327641"/>
    <w:rsid w:val="00334C45"/>
    <w:rsid w:val="00346895"/>
    <w:rsid w:val="003469F6"/>
    <w:rsid w:val="003866B8"/>
    <w:rsid w:val="003A0590"/>
    <w:rsid w:val="003B2073"/>
    <w:rsid w:val="003B4C69"/>
    <w:rsid w:val="003C0115"/>
    <w:rsid w:val="003C7F5D"/>
    <w:rsid w:val="003E6F86"/>
    <w:rsid w:val="003F4B36"/>
    <w:rsid w:val="004024F2"/>
    <w:rsid w:val="004275C9"/>
    <w:rsid w:val="00432D3E"/>
    <w:rsid w:val="004343D4"/>
    <w:rsid w:val="00465C5A"/>
    <w:rsid w:val="004666A6"/>
    <w:rsid w:val="00470982"/>
    <w:rsid w:val="004836B2"/>
    <w:rsid w:val="004A1049"/>
    <w:rsid w:val="004A2AE6"/>
    <w:rsid w:val="004A5C44"/>
    <w:rsid w:val="004A6E1E"/>
    <w:rsid w:val="004C5CBD"/>
    <w:rsid w:val="004D3916"/>
    <w:rsid w:val="004D76C6"/>
    <w:rsid w:val="004E27FD"/>
    <w:rsid w:val="00505ECC"/>
    <w:rsid w:val="005129DA"/>
    <w:rsid w:val="00514EDB"/>
    <w:rsid w:val="00515E4B"/>
    <w:rsid w:val="0052068C"/>
    <w:rsid w:val="00527DE3"/>
    <w:rsid w:val="00532963"/>
    <w:rsid w:val="0054632B"/>
    <w:rsid w:val="00550D55"/>
    <w:rsid w:val="005620CC"/>
    <w:rsid w:val="00574FA0"/>
    <w:rsid w:val="00580F68"/>
    <w:rsid w:val="005B161C"/>
    <w:rsid w:val="005B5570"/>
    <w:rsid w:val="005C6167"/>
    <w:rsid w:val="005C77AE"/>
    <w:rsid w:val="005E70BE"/>
    <w:rsid w:val="005F1291"/>
    <w:rsid w:val="005F71FA"/>
    <w:rsid w:val="00603E02"/>
    <w:rsid w:val="006143A2"/>
    <w:rsid w:val="0061488C"/>
    <w:rsid w:val="00615794"/>
    <w:rsid w:val="00624D6A"/>
    <w:rsid w:val="00626107"/>
    <w:rsid w:val="00631EDB"/>
    <w:rsid w:val="00633B39"/>
    <w:rsid w:val="00670B50"/>
    <w:rsid w:val="00674970"/>
    <w:rsid w:val="0067574C"/>
    <w:rsid w:val="006846D7"/>
    <w:rsid w:val="00694489"/>
    <w:rsid w:val="006B1514"/>
    <w:rsid w:val="006B1A82"/>
    <w:rsid w:val="006C5029"/>
    <w:rsid w:val="006D2D6E"/>
    <w:rsid w:val="006E76A4"/>
    <w:rsid w:val="006F0CD5"/>
    <w:rsid w:val="006F3118"/>
    <w:rsid w:val="006F49AF"/>
    <w:rsid w:val="007100AA"/>
    <w:rsid w:val="00750296"/>
    <w:rsid w:val="00750798"/>
    <w:rsid w:val="00756281"/>
    <w:rsid w:val="007648C7"/>
    <w:rsid w:val="00780DE5"/>
    <w:rsid w:val="00791EE3"/>
    <w:rsid w:val="007A30C8"/>
    <w:rsid w:val="007C2576"/>
    <w:rsid w:val="007D66D7"/>
    <w:rsid w:val="007E1429"/>
    <w:rsid w:val="007E3D9C"/>
    <w:rsid w:val="007E3DDE"/>
    <w:rsid w:val="007E4196"/>
    <w:rsid w:val="007E43CF"/>
    <w:rsid w:val="007F4FF4"/>
    <w:rsid w:val="008134A3"/>
    <w:rsid w:val="00854E83"/>
    <w:rsid w:val="00854FE5"/>
    <w:rsid w:val="00863C6D"/>
    <w:rsid w:val="008814CF"/>
    <w:rsid w:val="008A3402"/>
    <w:rsid w:val="008D783F"/>
    <w:rsid w:val="008F1C1C"/>
    <w:rsid w:val="008F66D0"/>
    <w:rsid w:val="00903D22"/>
    <w:rsid w:val="00913B56"/>
    <w:rsid w:val="00924271"/>
    <w:rsid w:val="0093064F"/>
    <w:rsid w:val="00943BE7"/>
    <w:rsid w:val="00955046"/>
    <w:rsid w:val="00964F5E"/>
    <w:rsid w:val="00965306"/>
    <w:rsid w:val="00974F1B"/>
    <w:rsid w:val="00977F3C"/>
    <w:rsid w:val="00990151"/>
    <w:rsid w:val="00996E85"/>
    <w:rsid w:val="009B3EE6"/>
    <w:rsid w:val="009C193F"/>
    <w:rsid w:val="009C4F50"/>
    <w:rsid w:val="009D1C32"/>
    <w:rsid w:val="009F0E9A"/>
    <w:rsid w:val="009F4101"/>
    <w:rsid w:val="009F5192"/>
    <w:rsid w:val="00A068DC"/>
    <w:rsid w:val="00A06B4C"/>
    <w:rsid w:val="00A14244"/>
    <w:rsid w:val="00A43459"/>
    <w:rsid w:val="00A8532B"/>
    <w:rsid w:val="00A85467"/>
    <w:rsid w:val="00AA188A"/>
    <w:rsid w:val="00AA3D9F"/>
    <w:rsid w:val="00AB0FC4"/>
    <w:rsid w:val="00AC38F0"/>
    <w:rsid w:val="00AC47E2"/>
    <w:rsid w:val="00AD1B75"/>
    <w:rsid w:val="00AE008D"/>
    <w:rsid w:val="00AE63E1"/>
    <w:rsid w:val="00B1278E"/>
    <w:rsid w:val="00B61BAD"/>
    <w:rsid w:val="00B62B8C"/>
    <w:rsid w:val="00B67419"/>
    <w:rsid w:val="00B85234"/>
    <w:rsid w:val="00B877CF"/>
    <w:rsid w:val="00B91FCC"/>
    <w:rsid w:val="00BA047A"/>
    <w:rsid w:val="00BA6003"/>
    <w:rsid w:val="00BB14CA"/>
    <w:rsid w:val="00BB753B"/>
    <w:rsid w:val="00BF7BCE"/>
    <w:rsid w:val="00C04638"/>
    <w:rsid w:val="00C15CFE"/>
    <w:rsid w:val="00C34415"/>
    <w:rsid w:val="00C451B2"/>
    <w:rsid w:val="00C549F5"/>
    <w:rsid w:val="00C6355A"/>
    <w:rsid w:val="00C63C52"/>
    <w:rsid w:val="00CA740C"/>
    <w:rsid w:val="00CC7246"/>
    <w:rsid w:val="00CE5700"/>
    <w:rsid w:val="00CF02D2"/>
    <w:rsid w:val="00CF0A80"/>
    <w:rsid w:val="00D13624"/>
    <w:rsid w:val="00D17CE8"/>
    <w:rsid w:val="00D2580D"/>
    <w:rsid w:val="00D37675"/>
    <w:rsid w:val="00D37F2E"/>
    <w:rsid w:val="00D46FE8"/>
    <w:rsid w:val="00D64D51"/>
    <w:rsid w:val="00D6790A"/>
    <w:rsid w:val="00D72678"/>
    <w:rsid w:val="00D80EB1"/>
    <w:rsid w:val="00D85869"/>
    <w:rsid w:val="00D94CD9"/>
    <w:rsid w:val="00DB07D9"/>
    <w:rsid w:val="00DB39DE"/>
    <w:rsid w:val="00DB5A4F"/>
    <w:rsid w:val="00DC150C"/>
    <w:rsid w:val="00DC265E"/>
    <w:rsid w:val="00DD0157"/>
    <w:rsid w:val="00DD38A2"/>
    <w:rsid w:val="00DF42DC"/>
    <w:rsid w:val="00DF49B3"/>
    <w:rsid w:val="00E01156"/>
    <w:rsid w:val="00E2255D"/>
    <w:rsid w:val="00E337B2"/>
    <w:rsid w:val="00E53A17"/>
    <w:rsid w:val="00E61F48"/>
    <w:rsid w:val="00E6436D"/>
    <w:rsid w:val="00E65CE4"/>
    <w:rsid w:val="00E7682D"/>
    <w:rsid w:val="00EA3937"/>
    <w:rsid w:val="00EA5E01"/>
    <w:rsid w:val="00EB0C59"/>
    <w:rsid w:val="00EB0C73"/>
    <w:rsid w:val="00EC1134"/>
    <w:rsid w:val="00EC5473"/>
    <w:rsid w:val="00EF2468"/>
    <w:rsid w:val="00F1793E"/>
    <w:rsid w:val="00F32040"/>
    <w:rsid w:val="00F45B6C"/>
    <w:rsid w:val="00F47B2F"/>
    <w:rsid w:val="00F47E2B"/>
    <w:rsid w:val="00F50077"/>
    <w:rsid w:val="00F71CF5"/>
    <w:rsid w:val="00F81C32"/>
    <w:rsid w:val="00F93A96"/>
    <w:rsid w:val="00FA0F41"/>
    <w:rsid w:val="00FA2C5D"/>
    <w:rsid w:val="00FC744B"/>
    <w:rsid w:val="00FE10F3"/>
    <w:rsid w:val="00FE133D"/>
    <w:rsid w:val="00FE7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D2FC6"/>
  <w15:chartTrackingRefBased/>
  <w15:docId w15:val="{54886BF0-D635-4ECE-8143-BB80A5BB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56F"/>
    <w:pPr>
      <w:autoSpaceDE w:val="0"/>
      <w:autoSpaceDN w:val="0"/>
    </w:pPr>
    <w:rPr>
      <w:rFonts w:ascii="Times New Roman" w:eastAsia="宋体" w:hAnsi="Times New Roman" w:cs="Times New Roman"/>
      <w:kern w:val="0"/>
      <w:sz w:val="20"/>
      <w:szCs w:val="20"/>
      <w:lang w:val="de-DE" w:eastAsia="en-US"/>
    </w:rPr>
  </w:style>
  <w:style w:type="paragraph" w:styleId="1">
    <w:name w:val="heading 1"/>
    <w:basedOn w:val="a"/>
    <w:next w:val="a"/>
    <w:link w:val="10"/>
    <w:uiPriority w:val="9"/>
    <w:qFormat/>
    <w:rsid w:val="00DD38A2"/>
    <w:pPr>
      <w:keepNext/>
      <w:keepLines/>
      <w:spacing w:before="360" w:after="120"/>
      <w:outlineLvl w:val="0"/>
    </w:pPr>
    <w:rPr>
      <w:rFonts w:eastAsia="Times New Roman"/>
      <w:b/>
      <w:bCs/>
      <w:kern w:val="44"/>
      <w:sz w:val="28"/>
      <w:szCs w:val="44"/>
    </w:rPr>
  </w:style>
  <w:style w:type="paragraph" w:styleId="2">
    <w:name w:val="heading 2"/>
    <w:basedOn w:val="a"/>
    <w:next w:val="a"/>
    <w:link w:val="20"/>
    <w:uiPriority w:val="9"/>
    <w:unhideWhenUsed/>
    <w:qFormat/>
    <w:rsid w:val="00F1793E"/>
    <w:pPr>
      <w:keepNext/>
      <w:keepLines/>
      <w:spacing w:before="180" w:after="120"/>
      <w:outlineLvl w:val="1"/>
    </w:pPr>
    <w:rPr>
      <w:rFonts w:eastAsia="Times New Roman" w:cstheme="majorBidi"/>
      <w:b/>
      <w:bCs/>
      <w:sz w:val="24"/>
      <w:szCs w:val="32"/>
    </w:rPr>
  </w:style>
  <w:style w:type="paragraph" w:styleId="3">
    <w:name w:val="heading 3"/>
    <w:basedOn w:val="a"/>
    <w:next w:val="a"/>
    <w:link w:val="30"/>
    <w:uiPriority w:val="9"/>
    <w:unhideWhenUsed/>
    <w:qFormat/>
    <w:rsid w:val="00CF02D2"/>
    <w:pPr>
      <w:keepNext/>
      <w:keepLines/>
      <w:spacing w:before="120" w:after="60"/>
      <w:outlineLvl w:val="2"/>
    </w:pPr>
    <w:rPr>
      <w:rFonts w:eastAsia="Times New Roman"/>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556F"/>
    <w:pPr>
      <w:tabs>
        <w:tab w:val="center" w:pos="4320"/>
        <w:tab w:val="right" w:pos="8640"/>
      </w:tabs>
    </w:pPr>
  </w:style>
  <w:style w:type="character" w:customStyle="1" w:styleId="a4">
    <w:name w:val="页眉 字符"/>
    <w:basedOn w:val="a0"/>
    <w:link w:val="a3"/>
    <w:uiPriority w:val="99"/>
    <w:rsid w:val="0007556F"/>
  </w:style>
  <w:style w:type="paragraph" w:styleId="a5">
    <w:name w:val="footer"/>
    <w:basedOn w:val="a"/>
    <w:link w:val="a6"/>
    <w:uiPriority w:val="99"/>
    <w:unhideWhenUsed/>
    <w:rsid w:val="0007556F"/>
    <w:pPr>
      <w:tabs>
        <w:tab w:val="center" w:pos="4320"/>
        <w:tab w:val="right" w:pos="8640"/>
      </w:tabs>
    </w:pPr>
  </w:style>
  <w:style w:type="character" w:customStyle="1" w:styleId="a6">
    <w:name w:val="页脚 字符"/>
    <w:basedOn w:val="a0"/>
    <w:link w:val="a5"/>
    <w:uiPriority w:val="99"/>
    <w:rsid w:val="0007556F"/>
  </w:style>
  <w:style w:type="paragraph" w:customStyle="1" w:styleId="TTPTitle">
    <w:name w:val="TTP Title"/>
    <w:basedOn w:val="a"/>
    <w:next w:val="TTPAuthors"/>
    <w:uiPriority w:val="99"/>
    <w:rsid w:val="0007556F"/>
    <w:pPr>
      <w:spacing w:after="120"/>
      <w:jc w:val="center"/>
    </w:pPr>
    <w:rPr>
      <w:rFonts w:ascii="Arial" w:hAnsi="Arial" w:cs="Arial"/>
      <w:b/>
      <w:bCs/>
      <w:sz w:val="30"/>
      <w:szCs w:val="30"/>
      <w:lang w:val="en-US"/>
    </w:rPr>
  </w:style>
  <w:style w:type="paragraph" w:customStyle="1" w:styleId="TTPAuthors">
    <w:name w:val="TTP Author(s)"/>
    <w:basedOn w:val="a"/>
    <w:next w:val="TTPAddress"/>
    <w:uiPriority w:val="99"/>
    <w:rsid w:val="0007556F"/>
    <w:pPr>
      <w:spacing w:before="120"/>
      <w:jc w:val="center"/>
    </w:pPr>
    <w:rPr>
      <w:rFonts w:ascii="Arial" w:hAnsi="Arial" w:cs="Arial"/>
      <w:sz w:val="28"/>
      <w:szCs w:val="28"/>
      <w:lang w:val="en-US"/>
    </w:rPr>
  </w:style>
  <w:style w:type="paragraph" w:customStyle="1" w:styleId="TTPAddress">
    <w:name w:val="TTP Address"/>
    <w:basedOn w:val="a"/>
    <w:uiPriority w:val="99"/>
    <w:rsid w:val="0007556F"/>
    <w:pPr>
      <w:spacing w:before="120"/>
      <w:jc w:val="center"/>
    </w:pPr>
    <w:rPr>
      <w:rFonts w:ascii="Arial" w:hAnsi="Arial" w:cs="Arial"/>
      <w:sz w:val="22"/>
      <w:szCs w:val="22"/>
      <w:lang w:val="en-US"/>
    </w:rPr>
  </w:style>
  <w:style w:type="paragraph" w:customStyle="1" w:styleId="TTPSectionHeading">
    <w:name w:val="TTP Section Heading"/>
    <w:basedOn w:val="a"/>
    <w:next w:val="a"/>
    <w:uiPriority w:val="99"/>
    <w:rsid w:val="0007556F"/>
    <w:pPr>
      <w:spacing w:before="360" w:after="120"/>
      <w:jc w:val="both"/>
    </w:pPr>
    <w:rPr>
      <w:b/>
      <w:bCs/>
      <w:sz w:val="24"/>
      <w:szCs w:val="24"/>
      <w:lang w:val="en-US"/>
    </w:rPr>
  </w:style>
  <w:style w:type="paragraph" w:customStyle="1" w:styleId="TTPParagraphothers">
    <w:name w:val="TTP Paragraph (others)"/>
    <w:basedOn w:val="a"/>
    <w:link w:val="TTPParagraphothers0"/>
    <w:uiPriority w:val="99"/>
    <w:rsid w:val="0007556F"/>
    <w:pPr>
      <w:ind w:firstLine="283"/>
      <w:jc w:val="both"/>
    </w:pPr>
    <w:rPr>
      <w:sz w:val="24"/>
      <w:szCs w:val="24"/>
      <w:lang w:val="en-US"/>
    </w:rPr>
  </w:style>
  <w:style w:type="paragraph" w:customStyle="1" w:styleId="TTPReference">
    <w:name w:val="TTP Reference"/>
    <w:basedOn w:val="a"/>
    <w:rsid w:val="0007556F"/>
    <w:pPr>
      <w:tabs>
        <w:tab w:val="left" w:pos="426"/>
      </w:tabs>
      <w:spacing w:after="120" w:line="288" w:lineRule="atLeast"/>
      <w:jc w:val="both"/>
    </w:pPr>
    <w:rPr>
      <w:sz w:val="24"/>
      <w:szCs w:val="24"/>
    </w:rPr>
  </w:style>
  <w:style w:type="paragraph" w:customStyle="1" w:styleId="TTPKeywords">
    <w:name w:val="TTP Keywords"/>
    <w:basedOn w:val="a"/>
    <w:next w:val="TTPAbstract"/>
    <w:uiPriority w:val="99"/>
    <w:rsid w:val="0007556F"/>
    <w:pPr>
      <w:spacing w:before="360"/>
      <w:jc w:val="both"/>
    </w:pPr>
    <w:rPr>
      <w:rFonts w:ascii="Arial" w:hAnsi="Arial" w:cs="Arial"/>
      <w:sz w:val="22"/>
      <w:szCs w:val="22"/>
      <w:lang w:val="en-US"/>
    </w:rPr>
  </w:style>
  <w:style w:type="paragraph" w:customStyle="1" w:styleId="TTPAbstract">
    <w:name w:val="TTP Abstract"/>
    <w:basedOn w:val="a"/>
    <w:next w:val="TTPSectionHeading"/>
    <w:rsid w:val="0007556F"/>
    <w:pPr>
      <w:spacing w:before="360"/>
      <w:jc w:val="both"/>
    </w:pPr>
    <w:rPr>
      <w:sz w:val="24"/>
      <w:szCs w:val="24"/>
      <w:lang w:val="en-US"/>
    </w:rPr>
  </w:style>
  <w:style w:type="character" w:customStyle="1" w:styleId="Char">
    <w:name w:val="页眉 Char"/>
    <w:uiPriority w:val="99"/>
    <w:semiHidden/>
    <w:locked/>
    <w:rsid w:val="0007556F"/>
    <w:rPr>
      <w:rFonts w:cs="Times New Roman"/>
      <w:sz w:val="20"/>
      <w:szCs w:val="20"/>
      <w:lang w:val="de-DE" w:eastAsia="en-US"/>
    </w:rPr>
  </w:style>
  <w:style w:type="character" w:styleId="a7">
    <w:name w:val="Hyperlink"/>
    <w:uiPriority w:val="99"/>
    <w:rsid w:val="0007556F"/>
    <w:rPr>
      <w:rFonts w:cs="Times New Roman"/>
      <w:color w:val="0000FF"/>
      <w:u w:val="single"/>
    </w:rPr>
  </w:style>
  <w:style w:type="character" w:customStyle="1" w:styleId="10">
    <w:name w:val="标题 1 字符"/>
    <w:basedOn w:val="a0"/>
    <w:link w:val="1"/>
    <w:uiPriority w:val="9"/>
    <w:rsid w:val="00DD38A2"/>
    <w:rPr>
      <w:rFonts w:ascii="Times New Roman" w:eastAsia="Times New Roman" w:hAnsi="Times New Roman" w:cs="Times New Roman"/>
      <w:b/>
      <w:bCs/>
      <w:kern w:val="44"/>
      <w:sz w:val="28"/>
      <w:szCs w:val="44"/>
      <w:lang w:val="de-DE" w:eastAsia="en-US"/>
    </w:rPr>
  </w:style>
  <w:style w:type="character" w:customStyle="1" w:styleId="20">
    <w:name w:val="标题 2 字符"/>
    <w:basedOn w:val="a0"/>
    <w:link w:val="2"/>
    <w:uiPriority w:val="9"/>
    <w:rsid w:val="00F1793E"/>
    <w:rPr>
      <w:rFonts w:ascii="Times New Roman" w:eastAsia="Times New Roman" w:hAnsi="Times New Roman" w:cstheme="majorBidi"/>
      <w:b/>
      <w:bCs/>
      <w:kern w:val="0"/>
      <w:sz w:val="24"/>
      <w:szCs w:val="32"/>
      <w:lang w:val="de-DE" w:eastAsia="en-US"/>
    </w:rPr>
  </w:style>
  <w:style w:type="paragraph" w:styleId="a8">
    <w:name w:val="List Paragraph"/>
    <w:basedOn w:val="a"/>
    <w:uiPriority w:val="34"/>
    <w:qFormat/>
    <w:rsid w:val="00CF02D2"/>
    <w:pPr>
      <w:ind w:firstLineChars="200" w:firstLine="420"/>
    </w:pPr>
  </w:style>
  <w:style w:type="character" w:customStyle="1" w:styleId="30">
    <w:name w:val="标题 3 字符"/>
    <w:basedOn w:val="a0"/>
    <w:link w:val="3"/>
    <w:uiPriority w:val="9"/>
    <w:rsid w:val="00CF02D2"/>
    <w:rPr>
      <w:rFonts w:ascii="Times New Roman" w:eastAsia="Times New Roman" w:hAnsi="Times New Roman" w:cs="Times New Roman"/>
      <w:b/>
      <w:bCs/>
      <w:kern w:val="0"/>
      <w:sz w:val="24"/>
      <w:szCs w:val="32"/>
      <w:lang w:val="de-DE" w:eastAsia="en-US"/>
    </w:rPr>
  </w:style>
  <w:style w:type="paragraph" w:customStyle="1" w:styleId="references0">
    <w:name w:val="references"/>
    <w:uiPriority w:val="99"/>
    <w:rsid w:val="00E337B2"/>
    <w:pPr>
      <w:numPr>
        <w:numId w:val="5"/>
      </w:numPr>
      <w:tabs>
        <w:tab w:val="left" w:pos="360"/>
      </w:tabs>
      <w:spacing w:after="50" w:line="180" w:lineRule="exact"/>
      <w:jc w:val="both"/>
    </w:pPr>
    <w:rPr>
      <w:rFonts w:ascii="Times New Roman" w:eastAsia="宋体" w:hAnsi="Times New Roman" w:cs="Times New Roman"/>
      <w:kern w:val="0"/>
      <w:sz w:val="16"/>
      <w:szCs w:val="16"/>
      <w:lang w:eastAsia="en-US"/>
    </w:rPr>
  </w:style>
  <w:style w:type="paragraph" w:customStyle="1" w:styleId="Reference">
    <w:name w:val="Reference"/>
    <w:basedOn w:val="a"/>
    <w:rsid w:val="00E337B2"/>
    <w:pPr>
      <w:autoSpaceDE/>
      <w:autoSpaceDN/>
      <w:ind w:left="720" w:hanging="360"/>
      <w:jc w:val="both"/>
    </w:pPr>
    <w:rPr>
      <w:rFonts w:eastAsiaTheme="minorEastAsia"/>
      <w:lang w:val="en-US"/>
    </w:rPr>
  </w:style>
  <w:style w:type="table" w:styleId="a9">
    <w:name w:val="Table Grid"/>
    <w:basedOn w:val="a1"/>
    <w:uiPriority w:val="39"/>
    <w:rsid w:val="00327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F3118"/>
    <w:rPr>
      <w:sz w:val="18"/>
      <w:szCs w:val="18"/>
    </w:rPr>
  </w:style>
  <w:style w:type="character" w:customStyle="1" w:styleId="ab">
    <w:name w:val="批注框文本 字符"/>
    <w:basedOn w:val="a0"/>
    <w:link w:val="aa"/>
    <w:uiPriority w:val="99"/>
    <w:semiHidden/>
    <w:rsid w:val="006F3118"/>
    <w:rPr>
      <w:rFonts w:ascii="Times New Roman" w:eastAsia="宋体" w:hAnsi="Times New Roman" w:cs="Times New Roman"/>
      <w:kern w:val="0"/>
      <w:sz w:val="18"/>
      <w:szCs w:val="18"/>
      <w:lang w:val="de-DE" w:eastAsia="en-US"/>
    </w:rPr>
  </w:style>
  <w:style w:type="table" w:styleId="11">
    <w:name w:val="Plain Table 1"/>
    <w:basedOn w:val="a1"/>
    <w:uiPriority w:val="41"/>
    <w:rsid w:val="000E63FC"/>
    <w:rPr>
      <w:kern w:val="0"/>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ferences">
    <w:name w:val="References"/>
    <w:basedOn w:val="a"/>
    <w:link w:val="References1"/>
    <w:qFormat/>
    <w:rsid w:val="000E63FC"/>
    <w:pPr>
      <w:numPr>
        <w:numId w:val="6"/>
      </w:numPr>
      <w:spacing w:after="120" w:line="200" w:lineRule="exact"/>
      <w:ind w:left="212" w:hangingChars="212" w:hanging="212"/>
      <w:jc w:val="both"/>
    </w:pPr>
    <w:rPr>
      <w:rFonts w:eastAsia="Times New Roman"/>
      <w:sz w:val="18"/>
      <w:szCs w:val="18"/>
    </w:rPr>
  </w:style>
  <w:style w:type="character" w:customStyle="1" w:styleId="References1">
    <w:name w:val="References 字符"/>
    <w:basedOn w:val="a0"/>
    <w:link w:val="References"/>
    <w:rsid w:val="000E63FC"/>
    <w:rPr>
      <w:rFonts w:ascii="Times New Roman" w:eastAsia="Times New Roman" w:hAnsi="Times New Roman" w:cs="Times New Roman"/>
      <w:kern w:val="0"/>
      <w:sz w:val="18"/>
      <w:szCs w:val="18"/>
      <w:lang w:val="de-DE" w:eastAsia="en-US"/>
    </w:rPr>
  </w:style>
  <w:style w:type="paragraph" w:customStyle="1" w:styleId="Formula">
    <w:name w:val="Formula"/>
    <w:basedOn w:val="a"/>
    <w:link w:val="Formula0"/>
    <w:qFormat/>
    <w:rsid w:val="000E63FC"/>
    <w:pPr>
      <w:widowControl w:val="0"/>
      <w:autoSpaceDE/>
      <w:autoSpaceDN/>
      <w:spacing w:before="120" w:after="120"/>
      <w:jc w:val="right"/>
    </w:pPr>
    <w:rPr>
      <w:rFonts w:eastAsia="Times New Roman"/>
      <w:kern w:val="2"/>
      <w:lang w:val="en-US" w:eastAsia="zh-CN"/>
    </w:rPr>
  </w:style>
  <w:style w:type="character" w:customStyle="1" w:styleId="Formula0">
    <w:name w:val="Formula 字符"/>
    <w:basedOn w:val="a0"/>
    <w:link w:val="Formula"/>
    <w:rsid w:val="000E63FC"/>
    <w:rPr>
      <w:rFonts w:ascii="Times New Roman" w:eastAsia="Times New Roman" w:hAnsi="Times New Roman" w:cs="Times New Roman"/>
      <w:sz w:val="20"/>
      <w:szCs w:val="20"/>
    </w:rPr>
  </w:style>
  <w:style w:type="paragraph" w:customStyle="1" w:styleId="Figure">
    <w:name w:val="Figure"/>
    <w:basedOn w:val="TTPParagraphothers"/>
    <w:link w:val="Figure0"/>
    <w:qFormat/>
    <w:rsid w:val="000E63FC"/>
    <w:pPr>
      <w:spacing w:before="60" w:after="60" w:line="200" w:lineRule="exact"/>
      <w:ind w:firstLine="0"/>
      <w:jc w:val="center"/>
    </w:pPr>
    <w:rPr>
      <w:sz w:val="18"/>
      <w:szCs w:val="18"/>
    </w:rPr>
  </w:style>
  <w:style w:type="character" w:customStyle="1" w:styleId="TTPParagraphothers0">
    <w:name w:val="TTP Paragraph (others) 字符"/>
    <w:basedOn w:val="a0"/>
    <w:link w:val="TTPParagraphothers"/>
    <w:uiPriority w:val="99"/>
    <w:rsid w:val="000E63FC"/>
    <w:rPr>
      <w:rFonts w:ascii="Times New Roman" w:eastAsia="宋体" w:hAnsi="Times New Roman" w:cs="Times New Roman"/>
      <w:kern w:val="0"/>
      <w:sz w:val="24"/>
      <w:szCs w:val="24"/>
      <w:lang w:eastAsia="en-US"/>
    </w:rPr>
  </w:style>
  <w:style w:type="character" w:customStyle="1" w:styleId="Figure0">
    <w:name w:val="Figure 字符"/>
    <w:basedOn w:val="TTPParagraphothers0"/>
    <w:link w:val="Figure"/>
    <w:rsid w:val="000E63FC"/>
    <w:rPr>
      <w:rFonts w:ascii="Times New Roman" w:eastAsia="宋体" w:hAnsi="Times New Roman" w:cs="Times New Roman"/>
      <w:kern w:val="0"/>
      <w:sz w:val="18"/>
      <w:szCs w:val="18"/>
      <w:lang w:eastAsia="en-US"/>
    </w:rPr>
  </w:style>
  <w:style w:type="character" w:styleId="ac">
    <w:name w:val="Unresolved Mention"/>
    <w:basedOn w:val="a0"/>
    <w:uiPriority w:val="99"/>
    <w:semiHidden/>
    <w:unhideWhenUsed/>
    <w:rsid w:val="00974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52413-D651-4BD6-AA5B-A5D91E81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3409</Words>
  <Characters>22729</Characters>
  <Application>Microsoft Office Word</Application>
  <DocSecurity>0</DocSecurity>
  <Lines>315</Lines>
  <Paragraphs>83</Paragraphs>
  <ScaleCrop>false</ScaleCrop>
  <Company/>
  <LinksUpToDate>false</LinksUpToDate>
  <CharactersWithSpaces>26055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DRP</dc:creator>
  <cp:keywords/>
  <dc:description/>
  <cp:lastModifiedBy>ASUS</cp:lastModifiedBy>
  <cp:revision>4</cp:revision>
  <cp:lastPrinted>2021-10-18T07:31:00Z</cp:lastPrinted>
  <dcterms:created xsi:type="dcterms:W3CDTF">2024-06-06T02:27:00Z</dcterms:created>
  <dcterms:modified xsi:type="dcterms:W3CDTF">2024-06-13T02:32:00Z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