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52B3" w14:textId="76E871A2" w:rsidR="007C5E58" w:rsidRPr="00084D38" w:rsidRDefault="007C5E58" w:rsidP="007C5E58">
      <w:pPr>
        <w:pStyle w:val="TTPTitle"/>
        <w:spacing w:before="120"/>
        <w:rPr>
          <w:sz w:val="32"/>
          <w:szCs w:val="28"/>
        </w:rPr>
      </w:pPr>
      <w:r w:rsidRPr="00CB6F5E">
        <w:rPr>
          <w:sz w:val="32"/>
          <w:szCs w:val="28"/>
        </w:rPr>
        <w:t>Forecasting</w:t>
      </w:r>
      <w:r>
        <w:rPr>
          <w:sz w:val="32"/>
          <w:szCs w:val="28"/>
        </w:rPr>
        <w:t xml:space="preserve"> </w:t>
      </w:r>
      <w:r w:rsidRPr="00CB6F5E">
        <w:rPr>
          <w:sz w:val="32"/>
          <w:szCs w:val="28"/>
        </w:rPr>
        <w:t>China's</w:t>
      </w:r>
      <w:r>
        <w:rPr>
          <w:sz w:val="32"/>
          <w:szCs w:val="28"/>
        </w:rPr>
        <w:t xml:space="preserve"> </w:t>
      </w:r>
      <w:r w:rsidRPr="00CB6F5E">
        <w:rPr>
          <w:sz w:val="32"/>
          <w:szCs w:val="28"/>
        </w:rPr>
        <w:t>Real</w:t>
      </w:r>
      <w:r>
        <w:rPr>
          <w:sz w:val="32"/>
          <w:szCs w:val="28"/>
        </w:rPr>
        <w:t xml:space="preserve"> </w:t>
      </w:r>
      <w:r w:rsidRPr="00CB6F5E">
        <w:rPr>
          <w:sz w:val="32"/>
          <w:szCs w:val="28"/>
        </w:rPr>
        <w:t>Estate</w:t>
      </w:r>
      <w:r>
        <w:rPr>
          <w:sz w:val="32"/>
          <w:szCs w:val="28"/>
        </w:rPr>
        <w:t xml:space="preserve"> </w:t>
      </w:r>
      <w:r w:rsidRPr="00CB6F5E">
        <w:rPr>
          <w:sz w:val="32"/>
          <w:szCs w:val="28"/>
        </w:rPr>
        <w:t>Investment</w:t>
      </w:r>
      <w:r>
        <w:rPr>
          <w:sz w:val="32"/>
          <w:szCs w:val="28"/>
        </w:rPr>
        <w:t xml:space="preserve"> </w:t>
      </w:r>
      <w:r w:rsidRPr="00CB6F5E">
        <w:rPr>
          <w:sz w:val="32"/>
          <w:szCs w:val="28"/>
        </w:rPr>
        <w:t>Trends:</w:t>
      </w:r>
      <w:r>
        <w:rPr>
          <w:sz w:val="32"/>
          <w:szCs w:val="28"/>
        </w:rPr>
        <w:t xml:space="preserve"> </w:t>
      </w:r>
      <w:r w:rsidRPr="00CB6F5E">
        <w:rPr>
          <w:sz w:val="32"/>
          <w:szCs w:val="28"/>
        </w:rPr>
        <w:t>A</w:t>
      </w:r>
      <w:r>
        <w:rPr>
          <w:sz w:val="32"/>
          <w:szCs w:val="28"/>
        </w:rPr>
        <w:t xml:space="preserve"> </w:t>
      </w:r>
      <w:r w:rsidRPr="00CB6F5E">
        <w:rPr>
          <w:sz w:val="32"/>
          <w:szCs w:val="28"/>
        </w:rPr>
        <w:t>Dynamic</w:t>
      </w:r>
      <w:r>
        <w:rPr>
          <w:sz w:val="32"/>
          <w:szCs w:val="28"/>
        </w:rPr>
        <w:t xml:space="preserve"> </w:t>
      </w:r>
      <w:r w:rsidRPr="00CB6F5E">
        <w:rPr>
          <w:sz w:val="32"/>
          <w:szCs w:val="28"/>
        </w:rPr>
        <w:t>Regression</w:t>
      </w:r>
      <w:r>
        <w:rPr>
          <w:sz w:val="32"/>
          <w:szCs w:val="28"/>
        </w:rPr>
        <w:t xml:space="preserve"> </w:t>
      </w:r>
      <w:r w:rsidRPr="00CB6F5E">
        <w:rPr>
          <w:sz w:val="32"/>
          <w:szCs w:val="28"/>
        </w:rPr>
        <w:t>Model</w:t>
      </w:r>
      <w:r>
        <w:rPr>
          <w:sz w:val="32"/>
          <w:szCs w:val="28"/>
        </w:rPr>
        <w:t xml:space="preserve"> </w:t>
      </w:r>
      <w:r w:rsidRPr="00CB6F5E">
        <w:rPr>
          <w:sz w:val="32"/>
          <w:szCs w:val="28"/>
        </w:rPr>
        <w:t>Approach</w:t>
      </w:r>
      <w:r>
        <w:rPr>
          <w:sz w:val="32"/>
          <w:szCs w:val="28"/>
        </w:rPr>
        <w:t xml:space="preserve"> </w:t>
      </w:r>
      <w:r w:rsidRPr="00CB6F5E">
        <w:rPr>
          <w:sz w:val="32"/>
          <w:szCs w:val="28"/>
        </w:rPr>
        <w:t>with</w:t>
      </w:r>
      <w:r>
        <w:rPr>
          <w:sz w:val="32"/>
          <w:szCs w:val="28"/>
        </w:rPr>
        <w:t xml:space="preserve"> </w:t>
      </w:r>
      <w:r w:rsidRPr="00CB6F5E">
        <w:rPr>
          <w:sz w:val="32"/>
          <w:szCs w:val="28"/>
        </w:rPr>
        <w:t>ARIMA</w:t>
      </w:r>
    </w:p>
    <w:p w14:paraId="34AE6E7A" w14:textId="6715CE82" w:rsidR="007C5E58" w:rsidRPr="00B41042" w:rsidRDefault="007C5E58" w:rsidP="007C5E58">
      <w:pPr>
        <w:pStyle w:val="TTPAuthors"/>
        <w:spacing w:before="240"/>
      </w:pPr>
      <w:proofErr w:type="spellStart"/>
      <w:r w:rsidRPr="001F54D4">
        <w:t>Haoyuan</w:t>
      </w:r>
      <w:proofErr w:type="spellEnd"/>
      <w:r>
        <w:t xml:space="preserve"> </w:t>
      </w:r>
      <w:r w:rsidRPr="001F54D4">
        <w:t>Chen</w:t>
      </w:r>
      <w:r>
        <w:rPr>
          <w:rFonts w:hint="eastAsia"/>
        </w:rPr>
        <w:t xml:space="preserve"> </w:t>
      </w:r>
      <w:r w:rsidRPr="007C5E58">
        <w:rPr>
          <w:vertAlign w:val="superscript"/>
        </w:rPr>
        <w:t>*</w:t>
      </w:r>
    </w:p>
    <w:p w14:paraId="22D102CF" w14:textId="4E9C0AB7" w:rsidR="007C5E58" w:rsidRPr="002419B5" w:rsidRDefault="007C5E58" w:rsidP="007C5E58">
      <w:pPr>
        <w:pStyle w:val="TTPAddress"/>
      </w:pPr>
      <w:r w:rsidRPr="000A542C">
        <w:t>WMG,</w:t>
      </w:r>
      <w:r>
        <w:t xml:space="preserve"> </w:t>
      </w:r>
      <w:r w:rsidRPr="000A542C">
        <w:t>University</w:t>
      </w:r>
      <w:r>
        <w:t xml:space="preserve"> </w:t>
      </w:r>
      <w:r w:rsidRPr="000A542C">
        <w:t>of</w:t>
      </w:r>
      <w:r>
        <w:t xml:space="preserve"> </w:t>
      </w:r>
      <w:r w:rsidRPr="000A542C">
        <w:t>Warwick,</w:t>
      </w:r>
      <w:r>
        <w:t xml:space="preserve"> </w:t>
      </w:r>
      <w:r w:rsidRPr="000A542C">
        <w:t>Warwick,</w:t>
      </w:r>
      <w:r>
        <w:t xml:space="preserve"> </w:t>
      </w:r>
      <w:r w:rsidRPr="000A542C">
        <w:t>United</w:t>
      </w:r>
      <w:r>
        <w:t xml:space="preserve"> </w:t>
      </w:r>
      <w:r w:rsidRPr="000A542C">
        <w:t>Kingdom</w:t>
      </w:r>
    </w:p>
    <w:p w14:paraId="4765736D" w14:textId="0477BE6D" w:rsidR="007C5E58" w:rsidRPr="002419B5" w:rsidRDefault="007C5E58" w:rsidP="007C5E58">
      <w:pPr>
        <w:pStyle w:val="TTPAddress"/>
      </w:pPr>
      <w:r>
        <w:rPr>
          <w:rFonts w:hint="eastAsia"/>
        </w:rPr>
        <w:t xml:space="preserve">* </w:t>
      </w:r>
      <w:r w:rsidRPr="002419B5">
        <w:t>Corresponding</w:t>
      </w:r>
      <w:r>
        <w:t xml:space="preserve"> </w:t>
      </w:r>
      <w:r w:rsidRPr="002419B5">
        <w:t>author</w:t>
      </w:r>
      <w:r w:rsidRPr="002419B5">
        <w:rPr>
          <w:rFonts w:hint="eastAsia"/>
        </w:rPr>
        <w:t>:</w:t>
      </w:r>
      <w:r>
        <w:t xml:space="preserve"> </w:t>
      </w:r>
      <w:r w:rsidRPr="00CE4B47">
        <w:t>haoyuan.chen@warwick.ac.uk</w:t>
      </w:r>
    </w:p>
    <w:p w14:paraId="74B7BDCB" w14:textId="057F6A3B" w:rsidR="0007556F" w:rsidRPr="005620CC" w:rsidRDefault="0007556F" w:rsidP="0007556F">
      <w:pPr>
        <w:pStyle w:val="TTPAbstract"/>
        <w:spacing w:before="180"/>
        <w:rPr>
          <w:rFonts w:ascii="Arial" w:hAnsi="Arial" w:cs="Arial"/>
          <w:sz w:val="22"/>
        </w:rPr>
      </w:pPr>
      <w:r w:rsidRPr="005620CC">
        <w:rPr>
          <w:rFonts w:ascii="Arial" w:hAnsi="Arial" w:cs="Arial"/>
          <w:b/>
          <w:sz w:val="22"/>
        </w:rPr>
        <w:t>Abstract.</w:t>
      </w:r>
      <w:r w:rsidR="007C5E58">
        <w:rPr>
          <w:rFonts w:ascii="Arial" w:hAnsi="Arial" w:cs="Arial"/>
          <w:b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This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investigation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utilizes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dynamic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regression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model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with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Autoregressive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Integrated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Moving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Average</w:t>
      </w:r>
      <w:r w:rsidR="007C5E58">
        <w:rPr>
          <w:rFonts w:ascii="Arial" w:hAnsi="Arial" w:cs="Arial"/>
          <w:sz w:val="22"/>
        </w:rPr>
        <w:t xml:space="preserve"> </w:t>
      </w:r>
      <w:r w:rsidR="007C5E58">
        <w:rPr>
          <w:rFonts w:ascii="Arial" w:hAnsi="Arial" w:cs="Arial"/>
          <w:sz w:val="22"/>
          <w:lang w:eastAsia="zh-CN"/>
        </w:rPr>
        <w:t>(</w:t>
      </w:r>
      <w:r w:rsidR="007C5E58" w:rsidRPr="000E75E9">
        <w:rPr>
          <w:rFonts w:ascii="Arial" w:hAnsi="Arial" w:cs="Arial"/>
          <w:sz w:val="22"/>
        </w:rPr>
        <w:t>ARIMA</w:t>
      </w:r>
      <w:r w:rsidR="007C5E58">
        <w:rPr>
          <w:rFonts w:ascii="Arial" w:hAnsi="Arial" w:cs="Arial"/>
          <w:sz w:val="22"/>
          <w:lang w:eastAsia="zh-CN"/>
        </w:rPr>
        <w:t>)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error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correction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to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evaluate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and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forecast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the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trajectory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of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China's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real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estate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market.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The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model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interprets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investment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cycles,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indicating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an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imminent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significant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peak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and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anticipates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subsequent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market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adjustments.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The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research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integrates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key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indicators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such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production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output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and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sales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data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to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substantiate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its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predictions,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simultaneously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warning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of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an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overinflated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housing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market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due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to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shifting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demands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and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demographic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evolution.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The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authors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argue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for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more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sophisticated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modeling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approach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to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accurately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reflect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the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market's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nuances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and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propose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targeted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policy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measures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aimed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at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maintaining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equilibrium.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The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study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presents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the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model's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formidable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forecasting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ability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while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also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acknowledging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the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complex,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multifaceted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nature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of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the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real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estate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sector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which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mandates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ongoing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model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enhancements.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This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dual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focus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on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predictive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accuracy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and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the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call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for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adaptive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modeling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underscores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the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study's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commitment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to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providing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actionable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insights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in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rapidly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changing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economic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landscape.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The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proposed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policies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seek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to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preemptively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counteract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instability,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thereby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contributing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to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a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more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sustainable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real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estate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economy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in</w:t>
      </w:r>
      <w:r w:rsidR="007C5E58">
        <w:rPr>
          <w:rFonts w:ascii="Arial" w:hAnsi="Arial" w:cs="Arial"/>
          <w:sz w:val="22"/>
        </w:rPr>
        <w:t xml:space="preserve"> </w:t>
      </w:r>
      <w:r w:rsidR="007C5E58" w:rsidRPr="000E75E9">
        <w:rPr>
          <w:rFonts w:ascii="Arial" w:hAnsi="Arial" w:cs="Arial"/>
          <w:sz w:val="22"/>
        </w:rPr>
        <w:t>China</w:t>
      </w:r>
      <w:r w:rsidR="000E63FC" w:rsidRPr="00247C06">
        <w:rPr>
          <w:rFonts w:ascii="Arial" w:hAnsi="Arial" w:cs="Arial"/>
          <w:sz w:val="22"/>
        </w:rPr>
        <w:t>.</w:t>
      </w:r>
    </w:p>
    <w:p w14:paraId="47F91A31" w14:textId="3445B1DE" w:rsidR="0007556F" w:rsidRPr="00E95FC6" w:rsidRDefault="0007556F" w:rsidP="0007556F">
      <w:pPr>
        <w:pStyle w:val="TTPKeywords"/>
        <w:spacing w:before="180"/>
        <w:rPr>
          <w:b/>
          <w:bCs/>
          <w:i/>
          <w:iCs/>
          <w:color w:val="FF0000"/>
          <w:lang w:eastAsia="zh-CN"/>
        </w:rPr>
      </w:pPr>
      <w:r w:rsidRPr="00DD4E1D">
        <w:rPr>
          <w:b/>
          <w:bCs/>
        </w:rPr>
        <w:t>Keywords:</w:t>
      </w:r>
      <w:r w:rsidR="007C5E58">
        <w:t xml:space="preserve"> </w:t>
      </w:r>
      <w:r w:rsidR="007C5E58" w:rsidRPr="00EF5EB5">
        <w:t>China</w:t>
      </w:r>
      <w:r w:rsidR="007C5E58">
        <w:t xml:space="preserve"> r</w:t>
      </w:r>
      <w:r w:rsidR="007C5E58" w:rsidRPr="00EF5EB5">
        <w:t>eal</w:t>
      </w:r>
      <w:r w:rsidR="007C5E58">
        <w:t xml:space="preserve"> e</w:t>
      </w:r>
      <w:r w:rsidR="007C5E58" w:rsidRPr="00EF5EB5">
        <w:t>state</w:t>
      </w:r>
      <w:r w:rsidR="007C5E58">
        <w:t xml:space="preserve"> m</w:t>
      </w:r>
      <w:r w:rsidR="007C5E58" w:rsidRPr="00EF5EB5">
        <w:t>arket</w:t>
      </w:r>
      <w:r w:rsidR="007C5E58">
        <w:rPr>
          <w:rFonts w:hint="eastAsia"/>
          <w:lang w:eastAsia="zh-CN"/>
        </w:rPr>
        <w:t>,</w:t>
      </w:r>
      <w:r w:rsidR="007C5E58">
        <w:t xml:space="preserve"> d</w:t>
      </w:r>
      <w:r w:rsidR="007C5E58" w:rsidRPr="00EF5EB5">
        <w:t>ynamic</w:t>
      </w:r>
      <w:r w:rsidR="007C5E58">
        <w:t xml:space="preserve"> r</w:t>
      </w:r>
      <w:r w:rsidR="007C5E58" w:rsidRPr="00EF5EB5">
        <w:t>egression</w:t>
      </w:r>
      <w:r w:rsidR="007C5E58">
        <w:t xml:space="preserve"> m</w:t>
      </w:r>
      <w:r w:rsidR="007C5E58" w:rsidRPr="00EF5EB5">
        <w:t>odel</w:t>
      </w:r>
      <w:r w:rsidR="007C5E58">
        <w:rPr>
          <w:rFonts w:hint="eastAsia"/>
          <w:lang w:eastAsia="zh-CN"/>
        </w:rPr>
        <w:t>,</w:t>
      </w:r>
      <w:r w:rsidR="007C5E58">
        <w:t xml:space="preserve"> </w:t>
      </w:r>
      <w:r w:rsidR="007C5E58" w:rsidRPr="00EF5EB5">
        <w:t>ARIMA</w:t>
      </w:r>
      <w:r w:rsidR="007C5E58">
        <w:t xml:space="preserve"> model</w:t>
      </w:r>
      <w:r w:rsidR="007C5E58">
        <w:rPr>
          <w:rFonts w:hint="eastAsia"/>
          <w:lang w:eastAsia="zh-CN"/>
        </w:rPr>
        <w:t>,</w:t>
      </w:r>
      <w:r w:rsidR="007C5E58">
        <w:t xml:space="preserve"> h</w:t>
      </w:r>
      <w:r w:rsidR="007C5E58" w:rsidRPr="00EF5EB5">
        <w:t>ousing</w:t>
      </w:r>
      <w:r w:rsidR="007C5E58">
        <w:t xml:space="preserve"> i</w:t>
      </w:r>
      <w:r w:rsidR="007C5E58" w:rsidRPr="00EF5EB5">
        <w:t>nvestment</w:t>
      </w:r>
      <w:r w:rsidR="007C5E58">
        <w:t xml:space="preserve"> t</w:t>
      </w:r>
      <w:r w:rsidR="007C5E58" w:rsidRPr="00EF5EB5">
        <w:t>rends</w:t>
      </w:r>
      <w:r w:rsidR="000E63FC" w:rsidRPr="00DD4E1D">
        <w:t>.</w:t>
      </w:r>
    </w:p>
    <w:p w14:paraId="15DC69BA" w14:textId="77777777" w:rsidR="007C5E58" w:rsidRPr="007C5E58" w:rsidRDefault="007C5E58" w:rsidP="007C5E58">
      <w:pPr>
        <w:pStyle w:val="1"/>
        <w:numPr>
          <w:ilvl w:val="0"/>
          <w:numId w:val="9"/>
        </w:numPr>
        <w:ind w:left="420" w:hanging="420"/>
      </w:pPr>
      <w:r w:rsidRPr="007C5E58">
        <w:t>Introduction</w:t>
      </w:r>
    </w:p>
    <w:p w14:paraId="43D0C2D6" w14:textId="2D34BD23" w:rsidR="007C5E58" w:rsidRPr="007C5E58" w:rsidRDefault="007C5E58" w:rsidP="007C5E58">
      <w:pPr>
        <w:pStyle w:val="TTPParagraphothers"/>
        <w:ind w:firstLine="284"/>
      </w:pPr>
      <w:r w:rsidRPr="007C5E58">
        <w:t>Over</w:t>
      </w:r>
      <w:r>
        <w:t xml:space="preserve"> </w:t>
      </w:r>
      <w:r w:rsidRPr="007C5E58">
        <w:t>the</w:t>
      </w:r>
      <w:r>
        <w:t xml:space="preserve"> </w:t>
      </w:r>
      <w:r w:rsidRPr="007C5E58">
        <w:t>past</w:t>
      </w:r>
      <w:r>
        <w:t xml:space="preserve"> </w:t>
      </w:r>
      <w:r w:rsidRPr="007C5E58">
        <w:t>four</w:t>
      </w:r>
      <w:r>
        <w:t xml:space="preserve"> </w:t>
      </w:r>
      <w:r w:rsidRPr="007C5E58">
        <w:t>decades,</w:t>
      </w:r>
      <w:r>
        <w:t xml:space="preserve"> </w:t>
      </w:r>
      <w:r w:rsidRPr="007C5E58">
        <w:t>since</w:t>
      </w:r>
      <w:r>
        <w:t xml:space="preserve"> </w:t>
      </w:r>
      <w:r w:rsidRPr="007C5E58">
        <w:t>the</w:t>
      </w:r>
      <w:r>
        <w:t xml:space="preserve"> </w:t>
      </w:r>
      <w:r w:rsidRPr="007C5E58">
        <w:t>landmark</w:t>
      </w:r>
      <w:r>
        <w:t xml:space="preserve"> </w:t>
      </w:r>
      <w:r w:rsidRPr="007C5E58">
        <w:t>reforms</w:t>
      </w:r>
      <w:r>
        <w:t xml:space="preserve"> </w:t>
      </w:r>
      <w:r w:rsidRPr="007C5E58">
        <w:t>that</w:t>
      </w:r>
      <w:r>
        <w:t xml:space="preserve"> </w:t>
      </w:r>
      <w:r w:rsidRPr="007C5E58">
        <w:t>opened</w:t>
      </w:r>
      <w:r>
        <w:t xml:space="preserve"> </w:t>
      </w:r>
      <w:r w:rsidRPr="007C5E58">
        <w:t>China's</w:t>
      </w:r>
      <w:r>
        <w:t xml:space="preserve"> </w:t>
      </w:r>
      <w:r w:rsidRPr="007C5E58">
        <w:t>markets,</w:t>
      </w:r>
      <w:r>
        <w:t xml:space="preserve"> </w:t>
      </w:r>
      <w:r w:rsidRPr="007C5E58">
        <w:t>the</w:t>
      </w:r>
      <w:r>
        <w:t xml:space="preserve"> </w:t>
      </w:r>
      <w:r w:rsidRPr="007C5E58">
        <w:t>country's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sector</w:t>
      </w:r>
      <w:r>
        <w:t xml:space="preserve"> </w:t>
      </w:r>
      <w:r w:rsidRPr="007C5E58">
        <w:t>has</w:t>
      </w:r>
      <w:r>
        <w:t xml:space="preserve"> </w:t>
      </w:r>
      <w:r w:rsidRPr="007C5E58">
        <w:t>become</w:t>
      </w:r>
      <w:r>
        <w:t xml:space="preserve"> </w:t>
      </w:r>
      <w:r w:rsidRPr="007C5E58">
        <w:t>an</w:t>
      </w:r>
      <w:r>
        <w:t xml:space="preserve"> </w:t>
      </w:r>
      <w:r w:rsidRPr="007C5E58">
        <w:t>economic</w:t>
      </w:r>
      <w:r>
        <w:t xml:space="preserve"> </w:t>
      </w:r>
      <w:r w:rsidRPr="007C5E58">
        <w:t>titan,</w:t>
      </w:r>
      <w:r>
        <w:t xml:space="preserve"> </w:t>
      </w:r>
      <w:r w:rsidRPr="007C5E58">
        <w:t>now</w:t>
      </w:r>
      <w:r>
        <w:t xml:space="preserve"> </w:t>
      </w:r>
      <w:r w:rsidRPr="007C5E58">
        <w:t>accounting</w:t>
      </w:r>
      <w:r>
        <w:t xml:space="preserve"> </w:t>
      </w:r>
      <w:r w:rsidRPr="007C5E58">
        <w:t>for</w:t>
      </w:r>
      <w:r>
        <w:t xml:space="preserve"> </w:t>
      </w:r>
      <w:r w:rsidRPr="007C5E58">
        <w:t>a</w:t>
      </w:r>
      <w:r>
        <w:t xml:space="preserve"> </w:t>
      </w:r>
      <w:r w:rsidRPr="007C5E58">
        <w:t>staggering</w:t>
      </w:r>
      <w:r>
        <w:t xml:space="preserve"> </w:t>
      </w:r>
      <w:r w:rsidRPr="007C5E58">
        <w:t>30%</w:t>
      </w:r>
      <w:r>
        <w:t xml:space="preserve"> </w:t>
      </w:r>
      <w:r w:rsidRPr="007C5E58">
        <w:t>of</w:t>
      </w:r>
      <w:r>
        <w:t xml:space="preserve"> </w:t>
      </w:r>
      <w:r w:rsidRPr="007C5E58">
        <w:t>the</w:t>
      </w:r>
      <w:r>
        <w:t xml:space="preserve"> </w:t>
      </w:r>
      <w:r w:rsidRPr="007C5E58">
        <w:t>nation's</w:t>
      </w:r>
      <w:r>
        <w:t xml:space="preserve"> </w:t>
      </w:r>
      <w:r w:rsidRPr="007C5E58">
        <w:t>GDP.</w:t>
      </w:r>
      <w:r>
        <w:t xml:space="preserve"> </w:t>
      </w:r>
      <w:r w:rsidRPr="007C5E58">
        <w:t>This</w:t>
      </w:r>
      <w:r>
        <w:t xml:space="preserve"> </w:t>
      </w:r>
      <w:r w:rsidRPr="007C5E58">
        <w:t>remarkable</w:t>
      </w:r>
      <w:r>
        <w:t xml:space="preserve"> </w:t>
      </w:r>
      <w:r w:rsidRPr="007C5E58">
        <w:t>figure</w:t>
      </w:r>
      <w:r>
        <w:t xml:space="preserve"> </w:t>
      </w:r>
      <w:r w:rsidRPr="007C5E58">
        <w:t>underscores</w:t>
      </w:r>
      <w:r>
        <w:t xml:space="preserve"> </w:t>
      </w:r>
      <w:r w:rsidRPr="007C5E58">
        <w:t>the</w:t>
      </w:r>
      <w:r>
        <w:t xml:space="preserve"> </w:t>
      </w:r>
      <w:r w:rsidRPr="007C5E58">
        <w:t>intense</w:t>
      </w:r>
      <w:r>
        <w:t xml:space="preserve"> </w:t>
      </w:r>
      <w:r w:rsidRPr="007C5E58">
        <w:t>focus</w:t>
      </w:r>
      <w:r>
        <w:t xml:space="preserve"> </w:t>
      </w:r>
      <w:r w:rsidRPr="007C5E58">
        <w:t>on</w:t>
      </w:r>
      <w:r>
        <w:t xml:space="preserve"> </w:t>
      </w:r>
      <w:r w:rsidRPr="007C5E58">
        <w:t>infrastructure</w:t>
      </w:r>
      <w:r>
        <w:t xml:space="preserve"> </w:t>
      </w:r>
      <w:r w:rsidRPr="007C5E58">
        <w:t>and</w:t>
      </w:r>
      <w:r>
        <w:t xml:space="preserve"> </w:t>
      </w:r>
      <w:r w:rsidRPr="007C5E58">
        <w:t>urban</w:t>
      </w:r>
      <w:r>
        <w:t xml:space="preserve"> </w:t>
      </w:r>
      <w:r w:rsidRPr="007C5E58">
        <w:t>development</w:t>
      </w:r>
      <w:r>
        <w:t xml:space="preserve"> </w:t>
      </w:r>
      <w:r w:rsidRPr="007C5E58">
        <w:t>that</w:t>
      </w:r>
      <w:r>
        <w:t xml:space="preserve"> </w:t>
      </w:r>
      <w:r w:rsidRPr="007C5E58">
        <w:t>has</w:t>
      </w:r>
      <w:r>
        <w:t xml:space="preserve"> </w:t>
      </w:r>
      <w:r w:rsidRPr="007C5E58">
        <w:t>been</w:t>
      </w:r>
      <w:r>
        <w:t xml:space="preserve"> </w:t>
      </w:r>
      <w:r w:rsidRPr="007C5E58">
        <w:t>a</w:t>
      </w:r>
      <w:r>
        <w:t xml:space="preserve"> </w:t>
      </w:r>
      <w:r w:rsidRPr="007C5E58">
        <w:t>hallmark</w:t>
      </w:r>
      <w:r>
        <w:t xml:space="preserve"> </w:t>
      </w:r>
      <w:r w:rsidRPr="007C5E58">
        <w:t>of</w:t>
      </w:r>
      <w:r>
        <w:t xml:space="preserve"> </w:t>
      </w:r>
      <w:r w:rsidRPr="007C5E58">
        <w:t>China's</w:t>
      </w:r>
      <w:r>
        <w:t xml:space="preserve"> </w:t>
      </w:r>
      <w:r w:rsidRPr="007C5E58">
        <w:t>economic</w:t>
      </w:r>
      <w:r>
        <w:t xml:space="preserve"> </w:t>
      </w:r>
      <w:r w:rsidRPr="007C5E58">
        <w:t>strategy.</w:t>
      </w:r>
      <w:r>
        <w:t xml:space="preserve"> </w:t>
      </w:r>
      <w:r w:rsidRPr="007C5E58">
        <w:t>However,</w:t>
      </w:r>
      <w:r>
        <w:t xml:space="preserve"> </w:t>
      </w:r>
      <w:r w:rsidRPr="007C5E58">
        <w:t>this</w:t>
      </w:r>
      <w:r>
        <w:t xml:space="preserve"> </w:t>
      </w:r>
      <w:r w:rsidRPr="007C5E58">
        <w:t>dependency</w:t>
      </w:r>
      <w:r>
        <w:t xml:space="preserve"> </w:t>
      </w:r>
      <w:r w:rsidRPr="007C5E58">
        <w:t>also</w:t>
      </w:r>
      <w:r>
        <w:t xml:space="preserve"> </w:t>
      </w:r>
      <w:r w:rsidRPr="007C5E58">
        <w:t>poses</w:t>
      </w:r>
      <w:r>
        <w:t xml:space="preserve"> </w:t>
      </w:r>
      <w:r w:rsidRPr="007C5E58">
        <w:t>significant</w:t>
      </w:r>
      <w:r>
        <w:t xml:space="preserve"> </w:t>
      </w:r>
      <w:r w:rsidRPr="007C5E58">
        <w:t>risks,</w:t>
      </w:r>
      <w:r>
        <w:t xml:space="preserve"> </w:t>
      </w:r>
      <w:r w:rsidRPr="007C5E58">
        <w:t>as</w:t>
      </w:r>
      <w:r>
        <w:t xml:space="preserve"> </w:t>
      </w:r>
      <w:r w:rsidRPr="007C5E58">
        <w:t>exemplified</w:t>
      </w:r>
      <w:r>
        <w:t xml:space="preserve"> </w:t>
      </w:r>
      <w:r w:rsidRPr="007C5E58">
        <w:t>by</w:t>
      </w:r>
      <w:r>
        <w:t xml:space="preserve"> </w:t>
      </w:r>
      <w:r w:rsidRPr="007C5E58">
        <w:t>the</w:t>
      </w:r>
      <w:r>
        <w:t xml:space="preserve"> </w:t>
      </w:r>
      <w:r w:rsidRPr="007C5E58">
        <w:t>recent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sector</w:t>
      </w:r>
      <w:r>
        <w:t xml:space="preserve"> </w:t>
      </w:r>
      <w:r w:rsidRPr="007C5E58">
        <w:t>upheavals.</w:t>
      </w:r>
    </w:p>
    <w:p w14:paraId="3ACF6369" w14:textId="1A15C0D9" w:rsidR="007C5E58" w:rsidRPr="007C5E58" w:rsidRDefault="007C5E58" w:rsidP="007C5E58">
      <w:pPr>
        <w:pStyle w:val="TTPParagraphothers"/>
        <w:ind w:firstLine="284"/>
      </w:pPr>
      <w:r w:rsidRPr="007C5E58">
        <w:t>The</w:t>
      </w:r>
      <w:r>
        <w:t xml:space="preserve"> </w:t>
      </w:r>
      <w:r w:rsidRPr="007C5E58">
        <w:t>global</w:t>
      </w:r>
      <w:r>
        <w:t xml:space="preserve"> </w:t>
      </w:r>
      <w:r w:rsidRPr="007C5E58">
        <w:t>economic</w:t>
      </w:r>
      <w:r>
        <w:t xml:space="preserve"> </w:t>
      </w:r>
      <w:r w:rsidRPr="007C5E58">
        <w:t>landscape</w:t>
      </w:r>
      <w:r>
        <w:t xml:space="preserve"> </w:t>
      </w:r>
      <w:r w:rsidRPr="007C5E58">
        <w:t>was</w:t>
      </w:r>
      <w:r>
        <w:t xml:space="preserve"> </w:t>
      </w:r>
      <w:r w:rsidRPr="007C5E58">
        <w:t>profoundly</w:t>
      </w:r>
      <w:r>
        <w:t xml:space="preserve"> </w:t>
      </w:r>
      <w:r w:rsidRPr="007C5E58">
        <w:t>transformed</w:t>
      </w:r>
      <w:r>
        <w:t xml:space="preserve"> </w:t>
      </w:r>
      <w:r w:rsidRPr="007C5E58">
        <w:t>by</w:t>
      </w:r>
      <w:r>
        <w:t xml:space="preserve"> </w:t>
      </w:r>
      <w:r w:rsidRPr="007C5E58">
        <w:t>the</w:t>
      </w:r>
      <w:r>
        <w:t xml:space="preserve"> </w:t>
      </w:r>
      <w:r w:rsidRPr="007C5E58">
        <w:t>2008</w:t>
      </w:r>
      <w:r>
        <w:t xml:space="preserve"> </w:t>
      </w:r>
      <w:r w:rsidRPr="007C5E58">
        <w:t>U.S.</w:t>
      </w:r>
      <w:r>
        <w:t xml:space="preserve"> </w:t>
      </w:r>
      <w:r w:rsidRPr="007C5E58">
        <w:t>subprime</w:t>
      </w:r>
      <w:r>
        <w:t xml:space="preserve"> </w:t>
      </w:r>
      <w:r w:rsidRPr="007C5E58">
        <w:t>mortgage</w:t>
      </w:r>
      <w:r>
        <w:t xml:space="preserve"> </w:t>
      </w:r>
      <w:r w:rsidRPr="007C5E58">
        <w:t>crisis,</w:t>
      </w:r>
      <w:r>
        <w:t xml:space="preserve"> </w:t>
      </w:r>
      <w:r w:rsidRPr="007C5E58">
        <w:t>rooted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collapse</w:t>
      </w:r>
      <w:r>
        <w:t xml:space="preserve"> </w:t>
      </w:r>
      <w:r w:rsidRPr="007C5E58">
        <w:t>of</w:t>
      </w:r>
      <w:r>
        <w:t xml:space="preserve"> </w:t>
      </w:r>
      <w:r w:rsidRPr="007C5E58">
        <w:t>a</w:t>
      </w:r>
      <w:r>
        <w:t xml:space="preserve"> </w:t>
      </w:r>
      <w:r w:rsidRPr="007C5E58">
        <w:t>housing</w:t>
      </w:r>
      <w:r>
        <w:t xml:space="preserve"> </w:t>
      </w:r>
      <w:r w:rsidRPr="007C5E58">
        <w:t>bubble</w:t>
      </w:r>
      <w:r>
        <w:t xml:space="preserve"> </w:t>
      </w:r>
      <w:r w:rsidRPr="007C5E58">
        <w:t>exacerbated</w:t>
      </w:r>
      <w:r>
        <w:t xml:space="preserve"> </w:t>
      </w:r>
      <w:r w:rsidRPr="007C5E58">
        <w:t>by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asset</w:t>
      </w:r>
      <w:r>
        <w:t xml:space="preserve"> </w:t>
      </w:r>
      <w:r w:rsidRPr="007C5E58">
        <w:t>securitization</w:t>
      </w:r>
      <w:r>
        <w:t xml:space="preserve"> </w:t>
      </w:r>
      <w:r w:rsidRPr="007C5E58">
        <w:rPr>
          <w:lang w:eastAsia="zh-CN"/>
        </w:rPr>
        <w:t>[1</w:t>
      </w:r>
      <w:r w:rsidRPr="007C5E58">
        <w:t>].</w:t>
      </w:r>
      <w:r>
        <w:t xml:space="preserve"> </w:t>
      </w:r>
      <w:r w:rsidRPr="007C5E58">
        <w:t>China's</w:t>
      </w:r>
      <w:r>
        <w:t xml:space="preserve"> </w:t>
      </w:r>
      <w:r w:rsidRPr="007C5E58">
        <w:t>property</w:t>
      </w:r>
      <w:r>
        <w:t xml:space="preserve"> </w:t>
      </w:r>
      <w:r w:rsidRPr="007C5E58">
        <w:t>market</w:t>
      </w:r>
      <w:r>
        <w:t xml:space="preserve"> </w:t>
      </w:r>
      <w:r w:rsidRPr="007C5E58">
        <w:t>faces</w:t>
      </w:r>
      <w:r>
        <w:t xml:space="preserve"> </w:t>
      </w:r>
      <w:r w:rsidRPr="007C5E58">
        <w:t>similar</w:t>
      </w:r>
      <w:r>
        <w:t xml:space="preserve"> </w:t>
      </w:r>
      <w:r w:rsidRPr="007C5E58">
        <w:t>challenges,</w:t>
      </w:r>
      <w:r>
        <w:t xml:space="preserve"> </w:t>
      </w:r>
      <w:r w:rsidRPr="007C5E58">
        <w:t>particularly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wake</w:t>
      </w:r>
      <w:r>
        <w:t xml:space="preserve"> </w:t>
      </w:r>
      <w:r w:rsidRPr="007C5E58">
        <w:t>of</w:t>
      </w:r>
      <w:r>
        <w:t xml:space="preserve"> </w:t>
      </w:r>
      <w:r w:rsidRPr="007C5E58">
        <w:t>a</w:t>
      </w:r>
      <w:r>
        <w:t xml:space="preserve"> </w:t>
      </w:r>
      <w:r w:rsidRPr="007C5E58">
        <w:t>pandemic</w:t>
      </w:r>
      <w:r>
        <w:t xml:space="preserve"> </w:t>
      </w:r>
      <w:r w:rsidRPr="007C5E58">
        <w:t>that</w:t>
      </w:r>
      <w:r>
        <w:t xml:space="preserve"> </w:t>
      </w:r>
      <w:r w:rsidRPr="007C5E58">
        <w:t>has</w:t>
      </w:r>
      <w:r>
        <w:t xml:space="preserve"> </w:t>
      </w:r>
      <w:r w:rsidRPr="007C5E58">
        <w:t>seen</w:t>
      </w:r>
      <w:r>
        <w:t xml:space="preserve"> </w:t>
      </w:r>
      <w:r w:rsidRPr="007C5E58">
        <w:t>prominent</w:t>
      </w:r>
      <w:r>
        <w:t xml:space="preserve"> </w:t>
      </w:r>
      <w:r w:rsidRPr="007C5E58">
        <w:t>developers</w:t>
      </w:r>
      <w:r>
        <w:t xml:space="preserve"> </w:t>
      </w:r>
      <w:r w:rsidRPr="007C5E58">
        <w:t>like</w:t>
      </w:r>
      <w:r>
        <w:t xml:space="preserve"> </w:t>
      </w:r>
      <w:r w:rsidRPr="007C5E58">
        <w:t>Evergrande</w:t>
      </w:r>
      <w:r>
        <w:t xml:space="preserve"> </w:t>
      </w:r>
      <w:r w:rsidRPr="007C5E58">
        <w:t>Group</w:t>
      </w:r>
      <w:r>
        <w:t xml:space="preserve"> </w:t>
      </w:r>
      <w:r w:rsidRPr="007C5E58">
        <w:t>amass</w:t>
      </w:r>
      <w:r>
        <w:t xml:space="preserve"> </w:t>
      </w:r>
      <w:r w:rsidRPr="007C5E58">
        <w:t>unsustainable</w:t>
      </w:r>
      <w:r>
        <w:t xml:space="preserve"> </w:t>
      </w:r>
      <w:r w:rsidRPr="007C5E58">
        <w:t>debts,</w:t>
      </w:r>
      <w:r>
        <w:t xml:space="preserve"> </w:t>
      </w:r>
      <w:r w:rsidRPr="007C5E58">
        <w:t>leading</w:t>
      </w:r>
      <w:r>
        <w:t xml:space="preserve"> </w:t>
      </w:r>
      <w:r w:rsidRPr="007C5E58">
        <w:t>to</w:t>
      </w:r>
      <w:r>
        <w:t xml:space="preserve"> </w:t>
      </w:r>
      <w:r w:rsidRPr="007C5E58">
        <w:t>defaults</w:t>
      </w:r>
      <w:r>
        <w:t xml:space="preserve"> </w:t>
      </w:r>
      <w:r w:rsidRPr="007C5E58">
        <w:t>and</w:t>
      </w:r>
      <w:r>
        <w:t xml:space="preserve"> </w:t>
      </w:r>
      <w:r w:rsidRPr="007C5E58">
        <w:t>insolvencies.</w:t>
      </w:r>
      <w:r>
        <w:t xml:space="preserve"> </w:t>
      </w:r>
      <w:r w:rsidRPr="007C5E58">
        <w:t>This</w:t>
      </w:r>
      <w:r>
        <w:t xml:space="preserve"> </w:t>
      </w:r>
      <w:r w:rsidRPr="007C5E58">
        <w:t>trend</w:t>
      </w:r>
      <w:r>
        <w:t xml:space="preserve"> </w:t>
      </w:r>
      <w:r w:rsidRPr="007C5E58">
        <w:t>of</w:t>
      </w:r>
      <w:r>
        <w:t xml:space="preserve"> </w:t>
      </w:r>
      <w:r w:rsidRPr="007C5E58">
        <w:t>overexpansion</w:t>
      </w:r>
      <w:r>
        <w:t xml:space="preserve"> </w:t>
      </w:r>
      <w:r w:rsidRPr="007C5E58">
        <w:t>has</w:t>
      </w:r>
      <w:r>
        <w:t xml:space="preserve"> </w:t>
      </w:r>
      <w:r w:rsidRPr="007C5E58">
        <w:t>precipitated</w:t>
      </w:r>
      <w:r>
        <w:t xml:space="preserve"> </w:t>
      </w:r>
      <w:r w:rsidRPr="007C5E58">
        <w:t>unfinished</w:t>
      </w:r>
      <w:r>
        <w:t xml:space="preserve"> </w:t>
      </w:r>
      <w:r w:rsidRPr="007C5E58">
        <w:t>housing</w:t>
      </w:r>
      <w:r>
        <w:t xml:space="preserve"> </w:t>
      </w:r>
      <w:r w:rsidRPr="007C5E58">
        <w:t>projects,</w:t>
      </w:r>
      <w:r>
        <w:t xml:space="preserve"> </w:t>
      </w:r>
      <w:r w:rsidRPr="007C5E58">
        <w:t>leaving</w:t>
      </w:r>
      <w:r>
        <w:t xml:space="preserve"> </w:t>
      </w:r>
      <w:r w:rsidRPr="007C5E58">
        <w:t>buyers</w:t>
      </w:r>
      <w:r>
        <w:t xml:space="preserve"> </w:t>
      </w:r>
      <w:r w:rsidRPr="007C5E58">
        <w:t>adrift</w:t>
      </w:r>
      <w:r>
        <w:t xml:space="preserve"> </w:t>
      </w:r>
      <w:r w:rsidRPr="007C5E58">
        <w:t>and</w:t>
      </w:r>
      <w:r>
        <w:t xml:space="preserve"> </w:t>
      </w:r>
      <w:r w:rsidRPr="007C5E58">
        <w:t>severely</w:t>
      </w:r>
      <w:r>
        <w:t xml:space="preserve"> </w:t>
      </w:r>
      <w:r w:rsidRPr="007C5E58">
        <w:t>denting</w:t>
      </w:r>
      <w:r>
        <w:t xml:space="preserve"> </w:t>
      </w:r>
      <w:r w:rsidRPr="007C5E58">
        <w:t>confidence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market.</w:t>
      </w:r>
      <w:r>
        <w:t xml:space="preserve"> </w:t>
      </w:r>
      <w:r w:rsidRPr="007C5E58">
        <w:t>Without</w:t>
      </w:r>
      <w:r>
        <w:t xml:space="preserve"> </w:t>
      </w:r>
      <w:r w:rsidRPr="007C5E58">
        <w:t>intervention,</w:t>
      </w:r>
      <w:r>
        <w:t xml:space="preserve"> </w:t>
      </w:r>
      <w:r w:rsidRPr="007C5E58">
        <w:t>this</w:t>
      </w:r>
      <w:r>
        <w:t xml:space="preserve"> </w:t>
      </w:r>
      <w:r w:rsidRPr="007C5E58">
        <w:t>pattern</w:t>
      </w:r>
      <w:r>
        <w:t xml:space="preserve"> </w:t>
      </w:r>
      <w:r w:rsidRPr="007C5E58">
        <w:t>may</w:t>
      </w:r>
      <w:r>
        <w:t xml:space="preserve"> </w:t>
      </w:r>
      <w:r w:rsidRPr="007C5E58">
        <w:t>spiral</w:t>
      </w:r>
      <w:r>
        <w:t xml:space="preserve"> </w:t>
      </w:r>
      <w:r w:rsidRPr="007C5E58">
        <w:t>into</w:t>
      </w:r>
      <w:r>
        <w:t xml:space="preserve"> </w:t>
      </w:r>
      <w:r w:rsidRPr="007C5E58">
        <w:t>widespread</w:t>
      </w:r>
      <w:r>
        <w:t xml:space="preserve"> </w:t>
      </w:r>
      <w:r w:rsidRPr="007C5E58">
        <w:t>asset</w:t>
      </w:r>
      <w:r>
        <w:t xml:space="preserve"> </w:t>
      </w:r>
      <w:r w:rsidRPr="007C5E58">
        <w:t>depreciation,</w:t>
      </w:r>
      <w:r>
        <w:t xml:space="preserve"> </w:t>
      </w:r>
      <w:r w:rsidRPr="007C5E58">
        <w:t>bursting</w:t>
      </w:r>
      <w:r>
        <w:t xml:space="preserve"> </w:t>
      </w:r>
      <w:r w:rsidRPr="007C5E58">
        <w:t>of</w:t>
      </w:r>
      <w:r>
        <w:t xml:space="preserve"> </w:t>
      </w:r>
      <w:r w:rsidRPr="007C5E58">
        <w:t>the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bubble,</w:t>
      </w:r>
      <w:r>
        <w:t xml:space="preserve"> </w:t>
      </w:r>
      <w:r w:rsidRPr="007C5E58">
        <w:t>and</w:t>
      </w:r>
      <w:r>
        <w:t xml:space="preserve"> </w:t>
      </w:r>
      <w:r w:rsidRPr="007C5E58">
        <w:t>an</w:t>
      </w:r>
      <w:r>
        <w:t xml:space="preserve"> </w:t>
      </w:r>
      <w:r w:rsidRPr="007C5E58">
        <w:t>ensuing</w:t>
      </w:r>
      <w:r>
        <w:t xml:space="preserve"> </w:t>
      </w:r>
      <w:r w:rsidRPr="007C5E58">
        <w:t>economic</w:t>
      </w:r>
      <w:r>
        <w:t xml:space="preserve"> </w:t>
      </w:r>
      <w:r w:rsidRPr="007C5E58">
        <w:t>downturn</w:t>
      </w:r>
      <w:r>
        <w:t xml:space="preserve"> </w:t>
      </w:r>
      <w:r w:rsidRPr="007C5E58">
        <w:t>[2].</w:t>
      </w:r>
    </w:p>
    <w:p w14:paraId="41257A8D" w14:textId="25C3820E" w:rsidR="007C5E58" w:rsidRPr="007C5E58" w:rsidRDefault="007C5E58" w:rsidP="007C5E58">
      <w:pPr>
        <w:pStyle w:val="TTPParagraphothers"/>
        <w:ind w:firstLine="284"/>
      </w:pPr>
      <w:r w:rsidRPr="007C5E58">
        <w:t>This</w:t>
      </w:r>
      <w:r>
        <w:t xml:space="preserve"> </w:t>
      </w:r>
      <w:r w:rsidRPr="007C5E58">
        <w:t>paper</w:t>
      </w:r>
      <w:r>
        <w:t xml:space="preserve"> </w:t>
      </w:r>
      <w:r w:rsidRPr="007C5E58">
        <w:t>endeavors</w:t>
      </w:r>
      <w:r>
        <w:t xml:space="preserve"> </w:t>
      </w:r>
      <w:r w:rsidRPr="007C5E58">
        <w:t>to</w:t>
      </w:r>
      <w:r>
        <w:t xml:space="preserve"> </w:t>
      </w:r>
      <w:r w:rsidRPr="007C5E58">
        <w:t>predict</w:t>
      </w:r>
      <w:r>
        <w:t xml:space="preserve"> </w:t>
      </w:r>
      <w:r w:rsidRPr="007C5E58">
        <w:t>the</w:t>
      </w:r>
      <w:r>
        <w:t xml:space="preserve"> </w:t>
      </w:r>
      <w:r w:rsidRPr="007C5E58">
        <w:t>trajectory</w:t>
      </w:r>
      <w:r>
        <w:t xml:space="preserve"> </w:t>
      </w:r>
      <w:r w:rsidRPr="007C5E58">
        <w:t>of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investment</w:t>
      </w:r>
      <w:r>
        <w:t xml:space="preserve"> </w:t>
      </w:r>
      <w:r w:rsidRPr="007C5E58">
        <w:t>in</w:t>
      </w:r>
      <w:r>
        <w:t xml:space="preserve"> </w:t>
      </w:r>
      <w:r w:rsidRPr="007C5E58">
        <w:t>China,</w:t>
      </w:r>
      <w:r>
        <w:t xml:space="preserve"> </w:t>
      </w:r>
      <w:r w:rsidRPr="007C5E58">
        <w:t>scrutinizing</w:t>
      </w:r>
      <w:r>
        <w:t xml:space="preserve"> </w:t>
      </w:r>
      <w:r w:rsidRPr="007C5E58">
        <w:t>whether</w:t>
      </w:r>
      <w:r>
        <w:t xml:space="preserve"> </w:t>
      </w:r>
      <w:r w:rsidRPr="007C5E58">
        <w:t>the</w:t>
      </w:r>
      <w:r>
        <w:t xml:space="preserve"> </w:t>
      </w:r>
      <w:r w:rsidRPr="007C5E58">
        <w:t>current</w:t>
      </w:r>
      <w:r>
        <w:t xml:space="preserve"> </w:t>
      </w:r>
      <w:r w:rsidRPr="007C5E58">
        <w:t>surplus</w:t>
      </w:r>
      <w:r>
        <w:t xml:space="preserve"> </w:t>
      </w:r>
      <w:r w:rsidRPr="007C5E58">
        <w:t>in</w:t>
      </w:r>
      <w:r>
        <w:t xml:space="preserve"> </w:t>
      </w:r>
      <w:r w:rsidRPr="007C5E58">
        <w:t>housing</w:t>
      </w:r>
      <w:r>
        <w:t xml:space="preserve"> </w:t>
      </w:r>
      <w:r w:rsidRPr="007C5E58">
        <w:t>will</w:t>
      </w:r>
      <w:r>
        <w:t xml:space="preserve"> </w:t>
      </w:r>
      <w:r w:rsidRPr="007C5E58">
        <w:t>endure</w:t>
      </w:r>
      <w:r>
        <w:t xml:space="preserve"> </w:t>
      </w:r>
      <w:r w:rsidRPr="007C5E58">
        <w:t>and</w:t>
      </w:r>
      <w:r>
        <w:t xml:space="preserve"> </w:t>
      </w:r>
      <w:r w:rsidRPr="007C5E58">
        <w:t>the</w:t>
      </w:r>
      <w:r>
        <w:t xml:space="preserve"> </w:t>
      </w:r>
      <w:r w:rsidRPr="007C5E58">
        <w:t>extent</w:t>
      </w:r>
      <w:r>
        <w:t xml:space="preserve"> </w:t>
      </w:r>
      <w:r w:rsidRPr="007C5E58">
        <w:t>to</w:t>
      </w:r>
      <w:r>
        <w:t xml:space="preserve"> </w:t>
      </w:r>
      <w:r w:rsidRPr="007C5E58">
        <w:t>which</w:t>
      </w:r>
      <w:r>
        <w:t xml:space="preserve"> </w:t>
      </w:r>
      <w:r w:rsidRPr="007C5E58">
        <w:t>it</w:t>
      </w:r>
      <w:r>
        <w:t xml:space="preserve"> </w:t>
      </w:r>
      <w:r w:rsidRPr="007C5E58">
        <w:t>may</w:t>
      </w:r>
      <w:r>
        <w:t xml:space="preserve"> </w:t>
      </w:r>
      <w:r w:rsidRPr="007C5E58">
        <w:t>precipitate</w:t>
      </w:r>
      <w:r>
        <w:t xml:space="preserve"> </w:t>
      </w:r>
      <w:r w:rsidRPr="007C5E58">
        <w:t>a</w:t>
      </w:r>
      <w:r>
        <w:t xml:space="preserve"> </w:t>
      </w:r>
      <w:r w:rsidRPr="007C5E58">
        <w:t>sharper</w:t>
      </w:r>
      <w:r>
        <w:t xml:space="preserve"> </w:t>
      </w:r>
      <w:r w:rsidRPr="007C5E58">
        <w:t>market</w:t>
      </w:r>
      <w:r>
        <w:t xml:space="preserve"> </w:t>
      </w:r>
      <w:r w:rsidRPr="007C5E58">
        <w:t>downturn.</w:t>
      </w:r>
      <w:r>
        <w:t xml:space="preserve"> </w:t>
      </w:r>
      <w:r w:rsidRPr="007C5E58">
        <w:t>It</w:t>
      </w:r>
      <w:r>
        <w:t xml:space="preserve"> </w:t>
      </w:r>
      <w:r w:rsidRPr="007C5E58">
        <w:t>questions</w:t>
      </w:r>
      <w:r>
        <w:t xml:space="preserve"> </w:t>
      </w:r>
      <w:r w:rsidRPr="007C5E58">
        <w:t>whether</w:t>
      </w:r>
      <w:r>
        <w:t xml:space="preserve"> </w:t>
      </w:r>
      <w:r w:rsidRPr="007C5E58">
        <w:t>government</w:t>
      </w:r>
      <w:r>
        <w:t xml:space="preserve"> </w:t>
      </w:r>
      <w:r w:rsidRPr="007C5E58">
        <w:t>regulatory</w:t>
      </w:r>
      <w:r>
        <w:t xml:space="preserve"> </w:t>
      </w:r>
      <w:r w:rsidRPr="007C5E58">
        <w:t>policies</w:t>
      </w:r>
      <w:r>
        <w:t xml:space="preserve"> </w:t>
      </w:r>
      <w:r w:rsidRPr="007C5E58">
        <w:t>should</w:t>
      </w:r>
      <w:r>
        <w:t xml:space="preserve"> </w:t>
      </w:r>
      <w:r w:rsidRPr="007C5E58">
        <w:t>be</w:t>
      </w:r>
      <w:r>
        <w:t xml:space="preserve"> </w:t>
      </w:r>
      <w:r w:rsidRPr="007C5E58">
        <w:t>recalibrated,</w:t>
      </w:r>
      <w:r>
        <w:t xml:space="preserve"> </w:t>
      </w:r>
      <w:r w:rsidRPr="007C5E58">
        <w:t>whether</w:t>
      </w:r>
      <w:r>
        <w:t xml:space="preserve"> </w:t>
      </w:r>
      <w:r w:rsidRPr="007C5E58">
        <w:t>economic</w:t>
      </w:r>
      <w:r>
        <w:t xml:space="preserve"> </w:t>
      </w:r>
      <w:r w:rsidRPr="007C5E58">
        <w:t>stimulus</w:t>
      </w:r>
      <w:r>
        <w:t xml:space="preserve"> </w:t>
      </w:r>
      <w:r w:rsidRPr="007C5E58">
        <w:t>is</w:t>
      </w:r>
      <w:r>
        <w:t xml:space="preserve"> </w:t>
      </w:r>
      <w:r w:rsidRPr="007C5E58">
        <w:t>required</w:t>
      </w:r>
      <w:r>
        <w:t xml:space="preserve"> </w:t>
      </w:r>
      <w:r w:rsidRPr="007C5E58">
        <w:t>to</w:t>
      </w:r>
      <w:r>
        <w:t xml:space="preserve"> </w:t>
      </w:r>
      <w:r w:rsidRPr="007C5E58">
        <w:t>invigorate</w:t>
      </w:r>
      <w:r>
        <w:t xml:space="preserve"> </w:t>
      </w:r>
      <w:r w:rsidRPr="007C5E58">
        <w:t>housing</w:t>
      </w:r>
      <w:r>
        <w:t xml:space="preserve"> </w:t>
      </w:r>
      <w:r w:rsidRPr="007C5E58">
        <w:t>demand,</w:t>
      </w:r>
      <w:r>
        <w:t xml:space="preserve"> </w:t>
      </w:r>
      <w:r w:rsidRPr="007C5E58">
        <w:t>or</w:t>
      </w:r>
      <w:r>
        <w:t xml:space="preserve"> </w:t>
      </w:r>
      <w:r w:rsidRPr="007C5E58">
        <w:t>if</w:t>
      </w:r>
      <w:r>
        <w:t xml:space="preserve"> </w:t>
      </w:r>
      <w:r w:rsidRPr="007C5E58">
        <w:t>constraints</w:t>
      </w:r>
      <w:r>
        <w:t xml:space="preserve"> </w:t>
      </w:r>
      <w:r w:rsidRPr="007C5E58">
        <w:t>on</w:t>
      </w:r>
      <w:r>
        <w:t xml:space="preserve"> </w:t>
      </w:r>
      <w:r w:rsidRPr="007C5E58">
        <w:t>property</w:t>
      </w:r>
      <w:r>
        <w:t xml:space="preserve"> </w:t>
      </w:r>
      <w:r w:rsidRPr="007C5E58">
        <w:t>development</w:t>
      </w:r>
      <w:r>
        <w:t xml:space="preserve"> </w:t>
      </w:r>
      <w:r w:rsidRPr="007C5E58">
        <w:t>are</w:t>
      </w:r>
      <w:r>
        <w:t xml:space="preserve"> </w:t>
      </w:r>
      <w:r w:rsidRPr="007C5E58">
        <w:t>necessary</w:t>
      </w:r>
      <w:r>
        <w:t xml:space="preserve"> </w:t>
      </w:r>
      <w:r w:rsidRPr="007C5E58">
        <w:t>to</w:t>
      </w:r>
      <w:r>
        <w:t xml:space="preserve"> </w:t>
      </w:r>
      <w:r w:rsidRPr="007C5E58">
        <w:t>prevent</w:t>
      </w:r>
      <w:r>
        <w:t xml:space="preserve"> </w:t>
      </w:r>
      <w:r w:rsidRPr="007C5E58">
        <w:t>overexpansion.</w:t>
      </w:r>
    </w:p>
    <w:p w14:paraId="55DB5108" w14:textId="18575D25" w:rsidR="007C5E58" w:rsidRPr="007C5E58" w:rsidRDefault="007C5E58" w:rsidP="007C5E58">
      <w:pPr>
        <w:pStyle w:val="TTPParagraphothers"/>
        <w:ind w:firstLine="284"/>
      </w:pPr>
      <w:r w:rsidRPr="007C5E58">
        <w:t>An</w:t>
      </w:r>
      <w:r>
        <w:t xml:space="preserve"> </w:t>
      </w:r>
      <w:r w:rsidRPr="007C5E58">
        <w:t>extensive</w:t>
      </w:r>
      <w:r>
        <w:t xml:space="preserve"> </w:t>
      </w:r>
      <w:r w:rsidRPr="007C5E58">
        <w:t>review</w:t>
      </w:r>
      <w:r>
        <w:t xml:space="preserve"> </w:t>
      </w:r>
      <w:r w:rsidRPr="007C5E58">
        <w:t>of</w:t>
      </w:r>
      <w:r>
        <w:t xml:space="preserve"> </w:t>
      </w:r>
      <w:r w:rsidRPr="007C5E58">
        <w:t>existing</w:t>
      </w:r>
      <w:r>
        <w:t xml:space="preserve"> </w:t>
      </w:r>
      <w:r w:rsidRPr="007C5E58">
        <w:t>literature</w:t>
      </w:r>
      <w:r>
        <w:t xml:space="preserve"> </w:t>
      </w:r>
      <w:r w:rsidRPr="007C5E58">
        <w:t>reveals</w:t>
      </w:r>
      <w:r>
        <w:t xml:space="preserve"> </w:t>
      </w:r>
      <w:r w:rsidRPr="007C5E58">
        <w:t>the</w:t>
      </w:r>
      <w:r>
        <w:t xml:space="preserve"> </w:t>
      </w:r>
      <w:r w:rsidRPr="007C5E58">
        <w:t>dynamic</w:t>
      </w:r>
      <w:r>
        <w:t xml:space="preserve"> </w:t>
      </w:r>
      <w:r w:rsidRPr="007C5E58">
        <w:t>regression</w:t>
      </w:r>
      <w:r>
        <w:t xml:space="preserve"> </w:t>
      </w:r>
      <w:r w:rsidRPr="007C5E58">
        <w:t>model</w:t>
      </w:r>
      <w:r>
        <w:t xml:space="preserve"> </w:t>
      </w:r>
      <w:r w:rsidRPr="007C5E58">
        <w:t>(DRM)</w:t>
      </w:r>
      <w:r>
        <w:t xml:space="preserve"> </w:t>
      </w:r>
      <w:r w:rsidRPr="007C5E58">
        <w:t>as</w:t>
      </w:r>
      <w:r>
        <w:t xml:space="preserve"> </w:t>
      </w:r>
      <w:r w:rsidRPr="007C5E58">
        <w:t>a</w:t>
      </w:r>
      <w:r>
        <w:t xml:space="preserve"> </w:t>
      </w:r>
      <w:r w:rsidRPr="007C5E58">
        <w:t>preferred</w:t>
      </w:r>
      <w:r>
        <w:t xml:space="preserve"> </w:t>
      </w:r>
      <w:r w:rsidRPr="007C5E58">
        <w:t>tool</w:t>
      </w:r>
      <w:r>
        <w:t xml:space="preserve"> </w:t>
      </w:r>
      <w:r w:rsidRPr="007C5E58">
        <w:t>for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analysis</w:t>
      </w:r>
      <w:r>
        <w:t xml:space="preserve"> </w:t>
      </w:r>
      <w:r w:rsidRPr="007C5E58">
        <w:t>and</w:t>
      </w:r>
      <w:r>
        <w:t xml:space="preserve"> </w:t>
      </w:r>
      <w:r w:rsidRPr="007C5E58">
        <w:t>forecasting,</w:t>
      </w:r>
      <w:r>
        <w:t xml:space="preserve"> </w:t>
      </w:r>
      <w:r w:rsidRPr="007C5E58">
        <w:t>praised</w:t>
      </w:r>
      <w:r>
        <w:t xml:space="preserve"> </w:t>
      </w:r>
      <w:r w:rsidRPr="007C5E58">
        <w:t>for</w:t>
      </w:r>
      <w:r>
        <w:t xml:space="preserve"> </w:t>
      </w:r>
      <w:r w:rsidRPr="007C5E58">
        <w:t>its</w:t>
      </w:r>
      <w:r>
        <w:t xml:space="preserve"> </w:t>
      </w:r>
      <w:r w:rsidRPr="007C5E58">
        <w:t>responsiveness</w:t>
      </w:r>
      <w:r>
        <w:t xml:space="preserve"> </w:t>
      </w:r>
      <w:r w:rsidRPr="007C5E58">
        <w:t>to</w:t>
      </w:r>
      <w:r>
        <w:t xml:space="preserve"> </w:t>
      </w:r>
      <w:r w:rsidRPr="007C5E58">
        <w:t>immediate</w:t>
      </w:r>
      <w:r>
        <w:t xml:space="preserve"> </w:t>
      </w:r>
      <w:r w:rsidRPr="007C5E58">
        <w:t>market</w:t>
      </w:r>
      <w:r>
        <w:t xml:space="preserve"> </w:t>
      </w:r>
      <w:r w:rsidRPr="007C5E58">
        <w:t>indicators.</w:t>
      </w:r>
      <w:r>
        <w:t xml:space="preserve"> </w:t>
      </w:r>
      <w:proofErr w:type="spellStart"/>
      <w:r w:rsidRPr="007C5E58">
        <w:t>Seokyon</w:t>
      </w:r>
      <w:proofErr w:type="spellEnd"/>
      <w:r>
        <w:t xml:space="preserve"> </w:t>
      </w:r>
      <w:r w:rsidRPr="007C5E58">
        <w:t>Hwang's</w:t>
      </w:r>
      <w:r>
        <w:t xml:space="preserve"> </w:t>
      </w:r>
      <w:r w:rsidRPr="007C5E58">
        <w:t>research</w:t>
      </w:r>
      <w:r>
        <w:t xml:space="preserve"> </w:t>
      </w:r>
      <w:r w:rsidRPr="007C5E58">
        <w:t>demonstrated</w:t>
      </w:r>
      <w:r>
        <w:t xml:space="preserve"> </w:t>
      </w:r>
      <w:r w:rsidRPr="007C5E58">
        <w:t>the</w:t>
      </w:r>
      <w:r>
        <w:t xml:space="preserve"> </w:t>
      </w:r>
      <w:r w:rsidRPr="007C5E58">
        <w:t>DRM's</w:t>
      </w:r>
      <w:r>
        <w:t xml:space="preserve"> </w:t>
      </w:r>
      <w:r w:rsidRPr="007C5E58">
        <w:t>effectiveness</w:t>
      </w:r>
      <w:r>
        <w:t xml:space="preserve"> </w:t>
      </w:r>
      <w:r w:rsidRPr="007C5E58">
        <w:t>in</w:t>
      </w:r>
      <w:r>
        <w:t xml:space="preserve"> </w:t>
      </w:r>
      <w:r w:rsidRPr="007C5E58">
        <w:t>predicting</w:t>
      </w:r>
      <w:r>
        <w:t xml:space="preserve"> </w:t>
      </w:r>
      <w:r w:rsidRPr="007C5E58">
        <w:t>construction</w:t>
      </w:r>
      <w:r>
        <w:t xml:space="preserve"> </w:t>
      </w:r>
      <w:r w:rsidRPr="007C5E58">
        <w:t>costs,</w:t>
      </w:r>
      <w:r>
        <w:t xml:space="preserve"> </w:t>
      </w:r>
      <w:r w:rsidRPr="007C5E58">
        <w:t>attributing</w:t>
      </w:r>
      <w:r>
        <w:t xml:space="preserve"> </w:t>
      </w:r>
      <w:r w:rsidRPr="007C5E58">
        <w:t>its</w:t>
      </w:r>
      <w:r>
        <w:t xml:space="preserve"> </w:t>
      </w:r>
      <w:r w:rsidRPr="007C5E58">
        <w:t>success</w:t>
      </w:r>
      <w:r>
        <w:t xml:space="preserve"> </w:t>
      </w:r>
      <w:r w:rsidRPr="007C5E58">
        <w:t>to</w:t>
      </w:r>
      <w:r>
        <w:t xml:space="preserve"> </w:t>
      </w:r>
      <w:r w:rsidRPr="007C5E58">
        <w:t>the</w:t>
      </w:r>
      <w:r>
        <w:t xml:space="preserve"> </w:t>
      </w:r>
      <w:r w:rsidRPr="007C5E58">
        <w:t>model's</w:t>
      </w:r>
      <w:r>
        <w:t xml:space="preserve"> </w:t>
      </w:r>
      <w:r w:rsidRPr="007C5E58">
        <w:t>integration</w:t>
      </w:r>
      <w:r>
        <w:t xml:space="preserve"> </w:t>
      </w:r>
      <w:r w:rsidRPr="007C5E58">
        <w:t>of</w:t>
      </w:r>
      <w:r>
        <w:t xml:space="preserve"> </w:t>
      </w:r>
      <w:r w:rsidRPr="007C5E58">
        <w:t>contemporary</w:t>
      </w:r>
      <w:r>
        <w:t xml:space="preserve"> </w:t>
      </w:r>
      <w:r w:rsidRPr="007C5E58">
        <w:t>data</w:t>
      </w:r>
      <w:r>
        <w:t xml:space="preserve"> </w:t>
      </w:r>
      <w:r w:rsidRPr="007C5E58">
        <w:t>points,</w:t>
      </w:r>
      <w:r>
        <w:t xml:space="preserve"> </w:t>
      </w:r>
      <w:r w:rsidRPr="007C5E58">
        <w:t>allowing</w:t>
      </w:r>
      <w:r>
        <w:t xml:space="preserve"> </w:t>
      </w:r>
      <w:r w:rsidRPr="007C5E58">
        <w:t>for</w:t>
      </w:r>
      <w:r>
        <w:t xml:space="preserve"> </w:t>
      </w:r>
      <w:r w:rsidRPr="007C5E58">
        <w:t>rapid</w:t>
      </w:r>
      <w:r>
        <w:t xml:space="preserve"> </w:t>
      </w:r>
      <w:r w:rsidRPr="007C5E58">
        <w:t>updates</w:t>
      </w:r>
      <w:r>
        <w:t xml:space="preserve"> </w:t>
      </w:r>
      <w:r w:rsidRPr="007C5E58">
        <w:t>to</w:t>
      </w:r>
      <w:r>
        <w:t xml:space="preserve"> </w:t>
      </w:r>
      <w:r w:rsidRPr="007C5E58">
        <w:t>projections</w:t>
      </w:r>
      <w:r>
        <w:t xml:space="preserve"> </w:t>
      </w:r>
      <w:r w:rsidRPr="007C5E58">
        <w:t>[3].</w:t>
      </w:r>
      <w:r>
        <w:rPr>
          <w:lang w:eastAsia="zh-CN"/>
        </w:rPr>
        <w:t xml:space="preserve"> </w:t>
      </w:r>
      <w:r w:rsidRPr="007C5E58">
        <w:t>Yu</w:t>
      </w:r>
      <w:r>
        <w:t xml:space="preserve"> </w:t>
      </w:r>
      <w:r w:rsidRPr="007C5E58">
        <w:t>Wei's</w:t>
      </w:r>
      <w:r>
        <w:t xml:space="preserve"> </w:t>
      </w:r>
      <w:r w:rsidRPr="007C5E58">
        <w:t>approach,</w:t>
      </w:r>
      <w:r>
        <w:t xml:space="preserve"> </w:t>
      </w:r>
      <w:r w:rsidRPr="007C5E58">
        <w:t>applying</w:t>
      </w:r>
      <w:r>
        <w:t xml:space="preserve"> </w:t>
      </w:r>
      <w:r w:rsidRPr="007C5E58">
        <w:t>the</w:t>
      </w:r>
      <w:r>
        <w:t xml:space="preserve"> </w:t>
      </w:r>
      <w:r w:rsidRPr="007C5E58">
        <w:t>DRM</w:t>
      </w:r>
      <w:r>
        <w:t xml:space="preserve"> </w:t>
      </w:r>
      <w:r w:rsidRPr="007C5E58">
        <w:t>to</w:t>
      </w:r>
      <w:r>
        <w:t xml:space="preserve"> </w:t>
      </w:r>
      <w:r w:rsidRPr="007C5E58">
        <w:t>China's</w:t>
      </w:r>
      <w:r>
        <w:t xml:space="preserve"> </w:t>
      </w:r>
      <w:r w:rsidRPr="007C5E58">
        <w:t>housing</w:t>
      </w:r>
      <w:r>
        <w:t xml:space="preserve"> </w:t>
      </w:r>
      <w:r w:rsidRPr="007C5E58">
        <w:t>price</w:t>
      </w:r>
      <w:r>
        <w:t xml:space="preserve"> </w:t>
      </w:r>
      <w:r w:rsidRPr="007C5E58">
        <w:t>trends,</w:t>
      </w:r>
      <w:r>
        <w:t xml:space="preserve"> </w:t>
      </w:r>
      <w:r w:rsidRPr="007C5E58">
        <w:t>underscored</w:t>
      </w:r>
      <w:r>
        <w:t xml:space="preserve"> </w:t>
      </w:r>
      <w:r w:rsidRPr="007C5E58">
        <w:t>the</w:t>
      </w:r>
      <w:r>
        <w:t xml:space="preserve"> </w:t>
      </w:r>
      <w:r w:rsidRPr="007C5E58">
        <w:t>model's</w:t>
      </w:r>
      <w:r>
        <w:t xml:space="preserve"> </w:t>
      </w:r>
      <w:r w:rsidRPr="007C5E58">
        <w:t>superiority</w:t>
      </w:r>
      <w:r>
        <w:t xml:space="preserve"> </w:t>
      </w:r>
      <w:r w:rsidRPr="007C5E58">
        <w:t>over</w:t>
      </w:r>
      <w:r>
        <w:t xml:space="preserve"> </w:t>
      </w:r>
      <w:r w:rsidRPr="007C5E58">
        <w:t>traditional</w:t>
      </w:r>
      <w:r>
        <w:t xml:space="preserve"> </w:t>
      </w:r>
      <w:r w:rsidRPr="007C5E58">
        <w:t>methods,</w:t>
      </w:r>
      <w:r>
        <w:t xml:space="preserve"> </w:t>
      </w:r>
      <w:r w:rsidRPr="007C5E58">
        <w:t>with</w:t>
      </w:r>
      <w:r>
        <w:t xml:space="preserve"> </w:t>
      </w:r>
      <w:r w:rsidRPr="007C5E58">
        <w:t>its</w:t>
      </w:r>
      <w:r>
        <w:t xml:space="preserve"> </w:t>
      </w:r>
      <w:r w:rsidRPr="007C5E58">
        <w:t>flexibility</w:t>
      </w:r>
      <w:r>
        <w:t xml:space="preserve"> </w:t>
      </w:r>
      <w:r w:rsidRPr="007C5E58">
        <w:t>and</w:t>
      </w:r>
      <w:r>
        <w:t xml:space="preserve"> </w:t>
      </w:r>
      <w:r w:rsidRPr="007C5E58">
        <w:t>evolving</w:t>
      </w:r>
      <w:r>
        <w:t xml:space="preserve"> </w:t>
      </w:r>
      <w:r w:rsidRPr="007C5E58">
        <w:t>coefficients</w:t>
      </w:r>
      <w:r>
        <w:t xml:space="preserve"> </w:t>
      </w:r>
      <w:r w:rsidRPr="007C5E58">
        <w:t>providing</w:t>
      </w:r>
      <w:r>
        <w:t xml:space="preserve"> </w:t>
      </w:r>
      <w:r w:rsidRPr="007C5E58">
        <w:t>a</w:t>
      </w:r>
      <w:r>
        <w:t xml:space="preserve"> </w:t>
      </w:r>
      <w:r w:rsidRPr="007C5E58">
        <w:t>more</w:t>
      </w:r>
      <w:r>
        <w:t xml:space="preserve"> </w:t>
      </w:r>
      <w:r w:rsidRPr="007C5E58">
        <w:t>nuanced</w:t>
      </w:r>
      <w:r>
        <w:t xml:space="preserve"> </w:t>
      </w:r>
      <w:r w:rsidRPr="007C5E58">
        <w:t>forecast</w:t>
      </w:r>
      <w:r>
        <w:t xml:space="preserve"> </w:t>
      </w:r>
      <w:r w:rsidRPr="007C5E58">
        <w:t>[4].</w:t>
      </w:r>
      <w:r>
        <w:t xml:space="preserve"> </w:t>
      </w:r>
      <w:r w:rsidRPr="007C5E58">
        <w:t>In</w:t>
      </w:r>
      <w:r>
        <w:t xml:space="preserve"> </w:t>
      </w:r>
      <w:r w:rsidRPr="007C5E58">
        <w:t>international</w:t>
      </w:r>
      <w:r>
        <w:t xml:space="preserve"> </w:t>
      </w:r>
      <w:r w:rsidRPr="007C5E58">
        <w:t>contexts,</w:t>
      </w:r>
      <w:r>
        <w:t xml:space="preserve"> </w:t>
      </w:r>
      <w:r w:rsidRPr="007C5E58">
        <w:t>such</w:t>
      </w:r>
      <w:r>
        <w:t xml:space="preserve"> </w:t>
      </w:r>
      <w:r w:rsidRPr="007C5E58">
        <w:t>as</w:t>
      </w:r>
      <w:r>
        <w:t xml:space="preserve"> </w:t>
      </w:r>
      <w:r w:rsidRPr="007C5E58">
        <w:lastRenderedPageBreak/>
        <w:t>the</w:t>
      </w:r>
      <w:r>
        <w:t xml:space="preserve"> </w:t>
      </w:r>
      <w:r w:rsidRPr="007C5E58">
        <w:t>work</w:t>
      </w:r>
      <w:r>
        <w:t xml:space="preserve"> </w:t>
      </w:r>
      <w:r w:rsidRPr="007C5E58">
        <w:t>of</w:t>
      </w:r>
      <w:r>
        <w:t xml:space="preserve"> </w:t>
      </w:r>
      <w:r w:rsidRPr="007C5E58">
        <w:t>Francesco</w:t>
      </w:r>
      <w:r>
        <w:t xml:space="preserve"> </w:t>
      </w:r>
      <w:r w:rsidRPr="007C5E58">
        <w:t>Tajani</w:t>
      </w:r>
      <w:r>
        <w:t xml:space="preserve"> </w:t>
      </w:r>
      <w:r w:rsidRPr="007C5E58">
        <w:t>and</w:t>
      </w:r>
      <w:r>
        <w:t xml:space="preserve"> </w:t>
      </w:r>
      <w:r w:rsidRPr="007C5E58">
        <w:t>his</w:t>
      </w:r>
      <w:r>
        <w:t xml:space="preserve"> </w:t>
      </w:r>
      <w:r w:rsidRPr="007C5E58">
        <w:t>team</w:t>
      </w:r>
      <w:r>
        <w:t xml:space="preserve"> </w:t>
      </w:r>
      <w:r w:rsidRPr="007C5E58">
        <w:t>on</w:t>
      </w:r>
      <w:r>
        <w:t xml:space="preserve"> </w:t>
      </w:r>
      <w:r w:rsidRPr="007C5E58">
        <w:t>Spain's</w:t>
      </w:r>
      <w:r>
        <w:t xml:space="preserve"> </w:t>
      </w:r>
      <w:r w:rsidRPr="007C5E58">
        <w:t>housing</w:t>
      </w:r>
      <w:r>
        <w:t xml:space="preserve"> </w:t>
      </w:r>
      <w:r w:rsidRPr="007C5E58">
        <w:t>bubble,</w:t>
      </w:r>
      <w:r>
        <w:t xml:space="preserve"> </w:t>
      </w:r>
      <w:r w:rsidRPr="007C5E58">
        <w:t>DRMs</w:t>
      </w:r>
      <w:r>
        <w:t xml:space="preserve"> </w:t>
      </w:r>
      <w:r w:rsidRPr="007C5E58">
        <w:t>were</w:t>
      </w:r>
      <w:r>
        <w:t xml:space="preserve"> </w:t>
      </w:r>
      <w:r w:rsidRPr="007C5E58">
        <w:t>lauded</w:t>
      </w:r>
      <w:r>
        <w:t xml:space="preserve"> </w:t>
      </w:r>
      <w:r w:rsidRPr="007C5E58">
        <w:t>for</w:t>
      </w:r>
      <w:r>
        <w:t xml:space="preserve"> </w:t>
      </w:r>
      <w:r w:rsidRPr="007C5E58">
        <w:t>their</w:t>
      </w:r>
      <w:r>
        <w:t xml:space="preserve"> </w:t>
      </w:r>
      <w:r w:rsidRPr="007C5E58">
        <w:t>statistical</w:t>
      </w:r>
      <w:r>
        <w:t xml:space="preserve"> </w:t>
      </w:r>
      <w:r w:rsidRPr="007C5E58">
        <w:t>robustness</w:t>
      </w:r>
      <w:r>
        <w:t xml:space="preserve"> </w:t>
      </w:r>
      <w:r w:rsidRPr="007C5E58">
        <w:t>and</w:t>
      </w:r>
      <w:r>
        <w:t xml:space="preserve"> </w:t>
      </w:r>
      <w:r w:rsidRPr="007C5E58">
        <w:t>the</w:t>
      </w:r>
      <w:r>
        <w:t xml:space="preserve"> </w:t>
      </w:r>
      <w:r w:rsidRPr="007C5E58">
        <w:t>clarity</w:t>
      </w:r>
      <w:r>
        <w:t xml:space="preserve"> </w:t>
      </w:r>
      <w:r w:rsidRPr="007C5E58">
        <w:t>of</w:t>
      </w:r>
      <w:r>
        <w:t xml:space="preserve"> </w:t>
      </w:r>
      <w:r w:rsidRPr="007C5E58">
        <w:t>the</w:t>
      </w:r>
      <w:r>
        <w:t xml:space="preserve"> </w:t>
      </w:r>
      <w:r w:rsidRPr="007C5E58">
        <w:t>models</w:t>
      </w:r>
      <w:r>
        <w:t xml:space="preserve"> </w:t>
      </w:r>
      <w:r w:rsidRPr="007C5E58">
        <w:t>they</w:t>
      </w:r>
      <w:r>
        <w:t xml:space="preserve"> </w:t>
      </w:r>
      <w:r w:rsidRPr="007C5E58">
        <w:t>produced</w:t>
      </w:r>
      <w:r>
        <w:t xml:space="preserve"> </w:t>
      </w:r>
      <w:r w:rsidRPr="007C5E58">
        <w:t>[5].</w:t>
      </w:r>
    </w:p>
    <w:p w14:paraId="59C089A1" w14:textId="40726B09" w:rsidR="007C5E58" w:rsidRPr="007C5E58" w:rsidRDefault="007C5E58" w:rsidP="007C5E58">
      <w:pPr>
        <w:pStyle w:val="TTPParagraphothers"/>
        <w:ind w:firstLine="284"/>
      </w:pPr>
      <w:r w:rsidRPr="007C5E58">
        <w:t>In</w:t>
      </w:r>
      <w:r>
        <w:t xml:space="preserve"> </w:t>
      </w:r>
      <w:r w:rsidRPr="007C5E58">
        <w:t>a</w:t>
      </w:r>
      <w:r>
        <w:t xml:space="preserve"> </w:t>
      </w:r>
      <w:r w:rsidRPr="007C5E58">
        <w:t>departure</w:t>
      </w:r>
      <w:r>
        <w:t xml:space="preserve"> </w:t>
      </w:r>
      <w:r w:rsidRPr="007C5E58">
        <w:t>from</w:t>
      </w:r>
      <w:r>
        <w:t xml:space="preserve"> </w:t>
      </w:r>
      <w:r w:rsidRPr="007C5E58">
        <w:t>the</w:t>
      </w:r>
      <w:r>
        <w:t xml:space="preserve"> </w:t>
      </w:r>
      <w:r w:rsidRPr="007C5E58">
        <w:t>macroeconomic</w:t>
      </w:r>
      <w:r>
        <w:t xml:space="preserve"> </w:t>
      </w:r>
      <w:r w:rsidRPr="007C5E58">
        <w:t>focus</w:t>
      </w:r>
      <w:r>
        <w:t xml:space="preserve"> </w:t>
      </w:r>
      <w:r w:rsidRPr="007C5E58">
        <w:t>of</w:t>
      </w:r>
      <w:r>
        <w:t xml:space="preserve"> </w:t>
      </w:r>
      <w:proofErr w:type="spellStart"/>
      <w:r w:rsidRPr="007C5E58">
        <w:t>Nzalu</w:t>
      </w:r>
      <w:proofErr w:type="spellEnd"/>
      <w:r>
        <w:t xml:space="preserve"> </w:t>
      </w:r>
      <w:r w:rsidRPr="007C5E58">
        <w:t>Francis</w:t>
      </w:r>
      <w:r>
        <w:t xml:space="preserve"> </w:t>
      </w:r>
      <w:proofErr w:type="spellStart"/>
      <w:r w:rsidRPr="007C5E58">
        <w:t>Muli's</w:t>
      </w:r>
      <w:proofErr w:type="spellEnd"/>
      <w:r>
        <w:t xml:space="preserve"> </w:t>
      </w:r>
      <w:r w:rsidRPr="007C5E58">
        <w:t>research,</w:t>
      </w:r>
      <w:r>
        <w:t xml:space="preserve"> </w:t>
      </w:r>
      <w:r w:rsidRPr="007C5E58">
        <w:t>which</w:t>
      </w:r>
      <w:r>
        <w:t xml:space="preserve"> </w:t>
      </w:r>
      <w:r w:rsidRPr="007C5E58">
        <w:t>highlighted</w:t>
      </w:r>
      <w:r>
        <w:t xml:space="preserve"> </w:t>
      </w:r>
      <w:r w:rsidRPr="007C5E58">
        <w:t>GDP,</w:t>
      </w:r>
      <w:r>
        <w:t xml:space="preserve"> </w:t>
      </w:r>
      <w:r w:rsidRPr="007C5E58">
        <w:t>interest,</w:t>
      </w:r>
      <w:r>
        <w:t xml:space="preserve"> </w:t>
      </w:r>
      <w:r w:rsidRPr="007C5E58">
        <w:t>and</w:t>
      </w:r>
      <w:r>
        <w:t xml:space="preserve"> </w:t>
      </w:r>
      <w:r w:rsidRPr="007C5E58">
        <w:t>inflation</w:t>
      </w:r>
      <w:r>
        <w:t xml:space="preserve"> </w:t>
      </w:r>
      <w:r w:rsidRPr="007C5E58">
        <w:t>rates</w:t>
      </w:r>
      <w:r>
        <w:t xml:space="preserve"> </w:t>
      </w:r>
      <w:r w:rsidRPr="007C5E58">
        <w:t>as</w:t>
      </w:r>
      <w:r>
        <w:t xml:space="preserve"> </w:t>
      </w:r>
      <w:r w:rsidRPr="007C5E58">
        <w:t>significant</w:t>
      </w:r>
      <w:r>
        <w:t xml:space="preserve"> </w:t>
      </w:r>
      <w:r w:rsidRPr="007C5E58">
        <w:t>influencers</w:t>
      </w:r>
      <w:r>
        <w:t xml:space="preserve"> </w:t>
      </w:r>
      <w:r w:rsidRPr="007C5E58">
        <w:t>of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investment</w:t>
      </w:r>
      <w:r>
        <w:t xml:space="preserve"> </w:t>
      </w:r>
      <w:r w:rsidRPr="007C5E58">
        <w:t>in</w:t>
      </w:r>
      <w:r>
        <w:t xml:space="preserve"> </w:t>
      </w:r>
      <w:r w:rsidRPr="007C5E58">
        <w:t>Kenya</w:t>
      </w:r>
      <w:r>
        <w:t xml:space="preserve"> </w:t>
      </w:r>
      <w:r w:rsidRPr="007C5E58">
        <w:t>[6]</w:t>
      </w:r>
      <w:r w:rsidRPr="007C5E58">
        <w:rPr>
          <w:lang w:eastAsia="zh-CN"/>
        </w:rPr>
        <w:t>,</w:t>
      </w:r>
      <w:r>
        <w:rPr>
          <w:lang w:eastAsia="zh-CN"/>
        </w:rPr>
        <w:t xml:space="preserve"> </w:t>
      </w:r>
      <w:r w:rsidRPr="007C5E58">
        <w:rPr>
          <w:lang w:eastAsia="zh-CN"/>
        </w:rPr>
        <w:t>this</w:t>
      </w:r>
      <w:r>
        <w:rPr>
          <w:lang w:eastAsia="zh-CN"/>
        </w:rPr>
        <w:t xml:space="preserve"> </w:t>
      </w:r>
      <w:r w:rsidRPr="007C5E58">
        <w:rPr>
          <w:lang w:eastAsia="zh-CN"/>
        </w:rPr>
        <w:t>paper</w:t>
      </w:r>
      <w:r>
        <w:rPr>
          <w:lang w:eastAsia="zh-CN"/>
        </w:rPr>
        <w:t xml:space="preserve"> </w:t>
      </w:r>
      <w:r w:rsidRPr="007C5E58">
        <w:t>studied</w:t>
      </w:r>
      <w:r>
        <w:t xml:space="preserve"> </w:t>
      </w:r>
      <w:r w:rsidRPr="007C5E58">
        <w:t>probes</w:t>
      </w:r>
      <w:r>
        <w:t xml:space="preserve"> </w:t>
      </w:r>
      <w:r w:rsidRPr="007C5E58">
        <w:t>deeper.</w:t>
      </w:r>
      <w:r>
        <w:t xml:space="preserve"> </w:t>
      </w:r>
      <w:r w:rsidRPr="007C5E58">
        <w:t>T</w:t>
      </w:r>
      <w:r w:rsidRPr="007C5E58">
        <w:rPr>
          <w:lang w:eastAsia="zh-CN"/>
        </w:rPr>
        <w:t>his</w:t>
      </w:r>
      <w:r>
        <w:rPr>
          <w:lang w:eastAsia="zh-CN"/>
        </w:rPr>
        <w:t xml:space="preserve"> </w:t>
      </w:r>
      <w:r w:rsidRPr="007C5E58">
        <w:rPr>
          <w:lang w:eastAsia="zh-CN"/>
        </w:rPr>
        <w:t>paper</w:t>
      </w:r>
      <w:r>
        <w:rPr>
          <w:lang w:eastAsia="zh-CN"/>
        </w:rPr>
        <w:t xml:space="preserve"> </w:t>
      </w:r>
      <w:r w:rsidRPr="007C5E58">
        <w:t>considered</w:t>
      </w:r>
      <w:r>
        <w:t xml:space="preserve"> </w:t>
      </w:r>
      <w:r w:rsidRPr="007C5E58">
        <w:t>the</w:t>
      </w:r>
      <w:r>
        <w:t xml:space="preserve"> </w:t>
      </w:r>
      <w:r w:rsidRPr="007C5E58">
        <w:t>direct</w:t>
      </w:r>
      <w:r>
        <w:t xml:space="preserve"> </w:t>
      </w:r>
      <w:r w:rsidRPr="007C5E58">
        <w:t>costs</w:t>
      </w:r>
      <w:r>
        <w:t xml:space="preserve"> </w:t>
      </w:r>
      <w:r w:rsidRPr="007C5E58">
        <w:t>of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development</w:t>
      </w:r>
      <w:r>
        <w:t xml:space="preserve"> </w:t>
      </w:r>
      <w:r w:rsidRPr="007C5E58">
        <w:t>by</w:t>
      </w:r>
      <w:r>
        <w:t xml:space="preserve"> </w:t>
      </w:r>
      <w:r w:rsidRPr="007C5E58">
        <w:t>including</w:t>
      </w:r>
      <w:r>
        <w:t xml:space="preserve"> </w:t>
      </w:r>
      <w:r w:rsidRPr="007C5E58">
        <w:t>data</w:t>
      </w:r>
      <w:r>
        <w:t xml:space="preserve"> </w:t>
      </w:r>
      <w:r w:rsidRPr="007C5E58">
        <w:t>on</w:t>
      </w:r>
      <w:r>
        <w:t xml:space="preserve"> </w:t>
      </w:r>
      <w:r w:rsidRPr="007C5E58">
        <w:t>cement,</w:t>
      </w:r>
      <w:r>
        <w:t xml:space="preserve"> </w:t>
      </w:r>
      <w:r w:rsidRPr="007C5E58">
        <w:t>steel,</w:t>
      </w:r>
      <w:r>
        <w:t xml:space="preserve"> </w:t>
      </w:r>
      <w:r w:rsidRPr="007C5E58">
        <w:t>and</w:t>
      </w:r>
      <w:r>
        <w:t xml:space="preserve"> </w:t>
      </w:r>
      <w:r w:rsidRPr="007C5E58">
        <w:t>aluminum</w:t>
      </w:r>
      <w:r>
        <w:t xml:space="preserve"> </w:t>
      </w:r>
      <w:r w:rsidRPr="007C5E58">
        <w:t>production</w:t>
      </w:r>
      <w:r>
        <w:t xml:space="preserve"> </w:t>
      </w:r>
      <w:r w:rsidRPr="007C5E58">
        <w:t>to</w:t>
      </w:r>
      <w:r>
        <w:t xml:space="preserve"> </w:t>
      </w:r>
      <w:r w:rsidRPr="007C5E58">
        <w:t>assess</w:t>
      </w:r>
      <w:r>
        <w:t xml:space="preserve"> </w:t>
      </w:r>
      <w:r w:rsidRPr="007C5E58">
        <w:t>the</w:t>
      </w:r>
      <w:r>
        <w:t xml:space="preserve"> </w:t>
      </w:r>
      <w:r w:rsidRPr="007C5E58">
        <w:t>practicality</w:t>
      </w:r>
      <w:r>
        <w:t xml:space="preserve"> </w:t>
      </w:r>
      <w:r w:rsidRPr="007C5E58">
        <w:t>of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projects.</w:t>
      </w:r>
      <w:r>
        <w:t xml:space="preserve"> </w:t>
      </w:r>
      <w:r w:rsidRPr="007C5E58">
        <w:t>This</w:t>
      </w:r>
      <w:r>
        <w:t xml:space="preserve"> </w:t>
      </w:r>
      <w:r w:rsidRPr="007C5E58">
        <w:t>approach</w:t>
      </w:r>
      <w:r>
        <w:t xml:space="preserve"> </w:t>
      </w:r>
      <w:r w:rsidRPr="007C5E58">
        <w:t>is</w:t>
      </w:r>
      <w:r>
        <w:t xml:space="preserve"> </w:t>
      </w:r>
      <w:r w:rsidRPr="007C5E58">
        <w:t>informed</w:t>
      </w:r>
      <w:r>
        <w:t xml:space="preserve"> </w:t>
      </w:r>
      <w:r w:rsidRPr="007C5E58">
        <w:t>by</w:t>
      </w:r>
      <w:r>
        <w:t xml:space="preserve"> </w:t>
      </w:r>
      <w:r w:rsidRPr="007C5E58">
        <w:t>Melchior</w:t>
      </w:r>
      <w:r>
        <w:t xml:space="preserve"> </w:t>
      </w:r>
      <w:r w:rsidRPr="007C5E58">
        <w:t>Sawaya</w:t>
      </w:r>
      <w:r>
        <w:t xml:space="preserve"> </w:t>
      </w:r>
      <w:r w:rsidRPr="007C5E58">
        <w:t>Neto's</w:t>
      </w:r>
      <w:r>
        <w:t xml:space="preserve"> </w:t>
      </w:r>
      <w:r w:rsidRPr="007C5E58">
        <w:t>insights</w:t>
      </w:r>
      <w:r>
        <w:t xml:space="preserve"> </w:t>
      </w:r>
      <w:r w:rsidRPr="007C5E58">
        <w:t>on</w:t>
      </w:r>
      <w:r>
        <w:t xml:space="preserve"> </w:t>
      </w:r>
      <w:r w:rsidRPr="007C5E58">
        <w:t>the</w:t>
      </w:r>
      <w:r>
        <w:t xml:space="preserve"> </w:t>
      </w:r>
      <w:r w:rsidRPr="007C5E58">
        <w:t>often-neglected</w:t>
      </w:r>
      <w:r>
        <w:t xml:space="preserve"> </w:t>
      </w:r>
      <w:r w:rsidRPr="007C5E58">
        <w:t>aspects</w:t>
      </w:r>
      <w:r>
        <w:t xml:space="preserve"> </w:t>
      </w:r>
      <w:r w:rsidRPr="007C5E58">
        <w:t>of</w:t>
      </w:r>
      <w:r>
        <w:t xml:space="preserve"> </w:t>
      </w:r>
      <w:r w:rsidRPr="007C5E58">
        <w:t>land,</w:t>
      </w:r>
      <w:r>
        <w:t xml:space="preserve"> </w:t>
      </w:r>
      <w:r w:rsidRPr="007C5E58">
        <w:t>materials,</w:t>
      </w:r>
      <w:r>
        <w:t xml:space="preserve"> </w:t>
      </w:r>
      <w:r w:rsidRPr="007C5E58">
        <w:t>and</w:t>
      </w:r>
      <w:r>
        <w:t xml:space="preserve"> </w:t>
      </w:r>
      <w:r w:rsidRPr="007C5E58">
        <w:t>labor</w:t>
      </w:r>
      <w:r>
        <w:t xml:space="preserve"> </w:t>
      </w:r>
      <w:r w:rsidRPr="007C5E58">
        <w:t>costs</w:t>
      </w:r>
      <w:r>
        <w:t xml:space="preserve"> </w:t>
      </w:r>
      <w:r w:rsidRPr="007C5E58">
        <w:t>[7].</w:t>
      </w:r>
      <w:r>
        <w:t xml:space="preserve"> </w:t>
      </w:r>
      <w:r w:rsidRPr="007C5E58">
        <w:t>T</w:t>
      </w:r>
      <w:r w:rsidRPr="007C5E58">
        <w:rPr>
          <w:lang w:eastAsia="zh-CN"/>
        </w:rPr>
        <w:t>his</w:t>
      </w:r>
      <w:r>
        <w:rPr>
          <w:lang w:eastAsia="zh-CN"/>
        </w:rPr>
        <w:t xml:space="preserve"> </w:t>
      </w:r>
      <w:r w:rsidRPr="007C5E58">
        <w:rPr>
          <w:lang w:eastAsia="zh-CN"/>
        </w:rPr>
        <w:t>paper</w:t>
      </w:r>
      <w:r>
        <w:rPr>
          <w:lang w:eastAsia="zh-CN"/>
        </w:rPr>
        <w:t xml:space="preserve"> </w:t>
      </w:r>
      <w:r w:rsidRPr="007C5E58">
        <w:t>analyzed</w:t>
      </w:r>
      <w:r>
        <w:t xml:space="preserve"> </w:t>
      </w:r>
      <w:r w:rsidRPr="007C5E58">
        <w:t>notes</w:t>
      </w:r>
      <w:r>
        <w:t xml:space="preserve"> </w:t>
      </w:r>
      <w:r w:rsidRPr="007C5E58">
        <w:t>a</w:t>
      </w:r>
      <w:r>
        <w:t xml:space="preserve"> </w:t>
      </w:r>
      <w:r w:rsidRPr="007C5E58">
        <w:t>paradigm</w:t>
      </w:r>
      <w:r>
        <w:t xml:space="preserve"> </w:t>
      </w:r>
      <w:r w:rsidRPr="007C5E58">
        <w:t>shift</w:t>
      </w:r>
      <w:r>
        <w:t xml:space="preserve"> </w:t>
      </w:r>
      <w:r w:rsidRPr="007C5E58">
        <w:t>in</w:t>
      </w:r>
      <w:r>
        <w:t xml:space="preserve"> </w:t>
      </w:r>
      <w:r w:rsidRPr="007C5E58">
        <w:t>investment</w:t>
      </w:r>
      <w:r>
        <w:t xml:space="preserve"> </w:t>
      </w:r>
      <w:r w:rsidRPr="007C5E58">
        <w:t>motivations,</w:t>
      </w:r>
      <w:r>
        <w:t xml:space="preserve"> </w:t>
      </w:r>
      <w:r w:rsidRPr="007C5E58">
        <w:t>from</w:t>
      </w:r>
      <w:r>
        <w:t xml:space="preserve"> </w:t>
      </w:r>
      <w:r w:rsidRPr="007C5E58">
        <w:t>price</w:t>
      </w:r>
      <w:r>
        <w:t xml:space="preserve"> </w:t>
      </w:r>
      <w:r w:rsidRPr="007C5E58">
        <w:t>sensitivity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early</w:t>
      </w:r>
      <w:r>
        <w:t xml:space="preserve"> </w:t>
      </w:r>
      <w:r w:rsidRPr="007C5E58">
        <w:t>1990s</w:t>
      </w:r>
      <w:r>
        <w:t xml:space="preserve"> </w:t>
      </w:r>
      <w:r w:rsidRPr="007C5E58">
        <w:t>to</w:t>
      </w:r>
      <w:r>
        <w:t xml:space="preserve"> </w:t>
      </w:r>
      <w:r w:rsidRPr="007C5E58">
        <w:t>cost-centric</w:t>
      </w:r>
      <w:r>
        <w:t xml:space="preserve"> </w:t>
      </w:r>
      <w:r w:rsidRPr="007C5E58">
        <w:t>considerations</w:t>
      </w:r>
      <w:r>
        <w:t xml:space="preserve"> </w:t>
      </w:r>
      <w:r w:rsidRPr="007C5E58">
        <w:t>in</w:t>
      </w:r>
      <w:r>
        <w:t xml:space="preserve"> </w:t>
      </w:r>
      <w:r w:rsidRPr="007C5E58">
        <w:t>subsequent</w:t>
      </w:r>
      <w:r>
        <w:t xml:space="preserve"> </w:t>
      </w:r>
      <w:r w:rsidRPr="007C5E58">
        <w:t>years,</w:t>
      </w:r>
      <w:r>
        <w:t xml:space="preserve"> </w:t>
      </w:r>
      <w:r w:rsidRPr="007C5E58">
        <w:t>suggesting</w:t>
      </w:r>
      <w:r>
        <w:t xml:space="preserve"> </w:t>
      </w:r>
      <w:r w:rsidRPr="007C5E58">
        <w:t>a</w:t>
      </w:r>
      <w:r>
        <w:t xml:space="preserve"> </w:t>
      </w:r>
      <w:r w:rsidRPr="007C5E58">
        <w:t>more</w:t>
      </w:r>
      <w:r>
        <w:t xml:space="preserve"> </w:t>
      </w:r>
      <w:r w:rsidRPr="007C5E58">
        <w:t>sophisticated</w:t>
      </w:r>
      <w:r>
        <w:t xml:space="preserve"> </w:t>
      </w:r>
      <w:r w:rsidRPr="007C5E58">
        <w:t>investigation</w:t>
      </w:r>
      <w:r>
        <w:t xml:space="preserve"> </w:t>
      </w:r>
      <w:r w:rsidRPr="007C5E58">
        <w:t>into</w:t>
      </w:r>
      <w:r>
        <w:t xml:space="preserve"> </w:t>
      </w:r>
      <w:r w:rsidRPr="007C5E58">
        <w:t>housing</w:t>
      </w:r>
      <w:r>
        <w:t xml:space="preserve"> </w:t>
      </w:r>
      <w:r w:rsidRPr="007C5E58">
        <w:t>price</w:t>
      </w:r>
      <w:r>
        <w:t xml:space="preserve"> </w:t>
      </w:r>
      <w:r w:rsidRPr="007C5E58">
        <w:t>expectations</w:t>
      </w:r>
      <w:r>
        <w:t xml:space="preserve"> </w:t>
      </w:r>
      <w:r w:rsidRPr="007C5E58">
        <w:t>and</w:t>
      </w:r>
      <w:r>
        <w:t xml:space="preserve"> </w:t>
      </w:r>
      <w:r w:rsidRPr="007C5E58">
        <w:t>alternative</w:t>
      </w:r>
      <w:r>
        <w:t xml:space="preserve"> </w:t>
      </w:r>
      <w:r w:rsidRPr="007C5E58">
        <w:t>modeling</w:t>
      </w:r>
      <w:r>
        <w:t xml:space="preserve"> </w:t>
      </w:r>
      <w:r w:rsidRPr="007C5E58">
        <w:t>approaches</w:t>
      </w:r>
      <w:r>
        <w:t xml:space="preserve"> </w:t>
      </w:r>
      <w:r w:rsidRPr="007C5E58">
        <w:t>is</w:t>
      </w:r>
      <w:r>
        <w:t xml:space="preserve"> </w:t>
      </w:r>
      <w:r w:rsidRPr="007C5E58">
        <w:t>warranted.</w:t>
      </w:r>
      <w:r>
        <w:rPr>
          <w:lang w:eastAsia="zh-CN"/>
        </w:rPr>
        <w:t xml:space="preserve"> </w:t>
      </w:r>
      <w:r w:rsidRPr="007C5E58">
        <w:t>Additionally,</w:t>
      </w:r>
      <w:r>
        <w:t xml:space="preserve"> </w:t>
      </w:r>
      <w:r w:rsidRPr="007C5E58">
        <w:t>the</w:t>
      </w:r>
      <w:r>
        <w:t xml:space="preserve"> </w:t>
      </w:r>
      <w:r w:rsidRPr="007C5E58">
        <w:t>study</w:t>
      </w:r>
      <w:r>
        <w:t xml:space="preserve"> </w:t>
      </w:r>
      <w:r w:rsidRPr="007C5E58">
        <w:t>integrated</w:t>
      </w:r>
      <w:r>
        <w:t xml:space="preserve"> </w:t>
      </w:r>
      <w:r w:rsidRPr="007C5E58">
        <w:t>the</w:t>
      </w:r>
      <w:r>
        <w:t xml:space="preserve"> </w:t>
      </w:r>
      <w:r w:rsidRPr="007C5E58">
        <w:t>M2</w:t>
      </w:r>
      <w:r>
        <w:t xml:space="preserve"> </w:t>
      </w:r>
      <w:r w:rsidRPr="007C5E58">
        <w:t>money</w:t>
      </w:r>
      <w:r>
        <w:t xml:space="preserve"> </w:t>
      </w:r>
      <w:r w:rsidRPr="007C5E58">
        <w:t>supply</w:t>
      </w:r>
      <w:r>
        <w:t xml:space="preserve"> </w:t>
      </w:r>
      <w:r w:rsidRPr="007C5E58">
        <w:t>indicator,</w:t>
      </w:r>
      <w:r>
        <w:t xml:space="preserve"> </w:t>
      </w:r>
      <w:r w:rsidRPr="007C5E58">
        <w:t>capturing</w:t>
      </w:r>
      <w:r>
        <w:t xml:space="preserve"> </w:t>
      </w:r>
      <w:r w:rsidRPr="007C5E58">
        <w:t>the</w:t>
      </w:r>
      <w:r>
        <w:t xml:space="preserve"> </w:t>
      </w:r>
      <w:r w:rsidRPr="007C5E58">
        <w:t>expanse</w:t>
      </w:r>
      <w:r>
        <w:t xml:space="preserve"> </w:t>
      </w:r>
      <w:r w:rsidRPr="007C5E58">
        <w:t>of</w:t>
      </w:r>
      <w:r>
        <w:t xml:space="preserve"> </w:t>
      </w:r>
      <w:r w:rsidRPr="007C5E58">
        <w:t>housing</w:t>
      </w:r>
      <w:r>
        <w:t xml:space="preserve"> </w:t>
      </w:r>
      <w:r w:rsidRPr="007C5E58">
        <w:t>provident</w:t>
      </w:r>
      <w:r>
        <w:t xml:space="preserve"> </w:t>
      </w:r>
      <w:r w:rsidRPr="007C5E58">
        <w:t>fund</w:t>
      </w:r>
      <w:r>
        <w:t xml:space="preserve"> </w:t>
      </w:r>
      <w:r w:rsidRPr="007C5E58">
        <w:t>loans,</w:t>
      </w:r>
      <w:r>
        <w:t xml:space="preserve"> </w:t>
      </w:r>
      <w:r w:rsidRPr="007C5E58">
        <w:t>as</w:t>
      </w:r>
      <w:r>
        <w:t xml:space="preserve"> </w:t>
      </w:r>
      <w:r w:rsidRPr="007C5E58">
        <w:t>a</w:t>
      </w:r>
      <w:r>
        <w:t xml:space="preserve"> </w:t>
      </w:r>
      <w:r w:rsidRPr="007C5E58">
        <w:t>reflection</w:t>
      </w:r>
      <w:r>
        <w:t xml:space="preserve"> </w:t>
      </w:r>
      <w:r w:rsidRPr="007C5E58">
        <w:t>of</w:t>
      </w:r>
      <w:r>
        <w:t xml:space="preserve"> </w:t>
      </w:r>
      <w:r w:rsidRPr="007C5E58">
        <w:t>Chinese</w:t>
      </w:r>
      <w:r>
        <w:t xml:space="preserve"> </w:t>
      </w:r>
      <w:r w:rsidRPr="007C5E58">
        <w:t>purchasing</w:t>
      </w:r>
      <w:r>
        <w:t xml:space="preserve"> </w:t>
      </w:r>
      <w:r w:rsidRPr="007C5E58">
        <w:t>power</w:t>
      </w:r>
      <w:r>
        <w:t xml:space="preserve"> </w:t>
      </w:r>
      <w:r w:rsidRPr="007C5E58">
        <w:t>within</w:t>
      </w:r>
      <w:r>
        <w:t xml:space="preserve"> </w:t>
      </w:r>
      <w:r w:rsidRPr="007C5E58">
        <w:t>the</w:t>
      </w:r>
      <w:r>
        <w:t xml:space="preserve"> </w:t>
      </w:r>
      <w:r w:rsidRPr="007C5E58">
        <w:t>property</w:t>
      </w:r>
      <w:r>
        <w:t xml:space="preserve"> </w:t>
      </w:r>
      <w:r w:rsidRPr="007C5E58">
        <w:t>market</w:t>
      </w:r>
      <w:r>
        <w:t xml:space="preserve"> </w:t>
      </w:r>
      <w:r w:rsidRPr="007C5E58">
        <w:t>[8].</w:t>
      </w:r>
      <w:r>
        <w:t xml:space="preserve"> </w:t>
      </w:r>
      <w:r w:rsidRPr="007C5E58">
        <w:t>Alongside</w:t>
      </w:r>
      <w:r>
        <w:t xml:space="preserve"> </w:t>
      </w:r>
      <w:r w:rsidRPr="007C5E58">
        <w:t>this,</w:t>
      </w:r>
      <w:r>
        <w:t xml:space="preserve"> </w:t>
      </w:r>
      <w:r w:rsidRPr="007C5E58">
        <w:t>this</w:t>
      </w:r>
      <w:r>
        <w:t xml:space="preserve"> </w:t>
      </w:r>
      <w:r w:rsidRPr="007C5E58">
        <w:t>paper</w:t>
      </w:r>
      <w:r>
        <w:t xml:space="preserve"> </w:t>
      </w:r>
      <w:r w:rsidRPr="007C5E58">
        <w:t>considers</w:t>
      </w:r>
      <w:r>
        <w:t xml:space="preserve"> </w:t>
      </w:r>
      <w:r w:rsidRPr="007C5E58">
        <w:t>housing</w:t>
      </w:r>
      <w:r>
        <w:t xml:space="preserve"> </w:t>
      </w:r>
      <w:r w:rsidRPr="007C5E58">
        <w:t>sales</w:t>
      </w:r>
      <w:r>
        <w:t xml:space="preserve"> </w:t>
      </w:r>
      <w:r w:rsidRPr="007C5E58">
        <w:t>data</w:t>
      </w:r>
      <w:r>
        <w:t xml:space="preserve"> </w:t>
      </w:r>
      <w:r w:rsidRPr="007C5E58">
        <w:t>as</w:t>
      </w:r>
      <w:r>
        <w:t xml:space="preserve"> </w:t>
      </w:r>
      <w:r w:rsidRPr="007C5E58">
        <w:t>a</w:t>
      </w:r>
      <w:r>
        <w:t xml:space="preserve"> </w:t>
      </w:r>
      <w:r w:rsidRPr="007C5E58">
        <w:t>direct</w:t>
      </w:r>
      <w:r>
        <w:t xml:space="preserve"> </w:t>
      </w:r>
      <w:r w:rsidRPr="007C5E58">
        <w:t>measure</w:t>
      </w:r>
      <w:r>
        <w:t xml:space="preserve"> </w:t>
      </w:r>
      <w:r w:rsidRPr="007C5E58">
        <w:t>of</w:t>
      </w:r>
      <w:r>
        <w:t xml:space="preserve"> </w:t>
      </w:r>
      <w:r w:rsidRPr="007C5E58">
        <w:t>market</w:t>
      </w:r>
      <w:r>
        <w:t xml:space="preserve"> </w:t>
      </w:r>
      <w:r w:rsidRPr="007C5E58">
        <w:t>demand,</w:t>
      </w:r>
      <w:r>
        <w:t xml:space="preserve"> </w:t>
      </w:r>
      <w:r w:rsidRPr="007C5E58">
        <w:t>shaping</w:t>
      </w:r>
      <w:r>
        <w:t xml:space="preserve"> </w:t>
      </w:r>
      <w:r w:rsidRPr="007C5E58">
        <w:t>property</w:t>
      </w:r>
      <w:r>
        <w:t xml:space="preserve"> </w:t>
      </w:r>
      <w:r w:rsidRPr="007C5E58">
        <w:t>developers'</w:t>
      </w:r>
      <w:r>
        <w:t xml:space="preserve"> </w:t>
      </w:r>
      <w:r w:rsidRPr="007C5E58">
        <w:t>forecasting</w:t>
      </w:r>
      <w:r>
        <w:t xml:space="preserve"> </w:t>
      </w:r>
      <w:r w:rsidRPr="007C5E58">
        <w:t>and</w:t>
      </w:r>
      <w:r>
        <w:t xml:space="preserve"> </w:t>
      </w:r>
      <w:r w:rsidRPr="007C5E58">
        <w:t>planning.</w:t>
      </w:r>
    </w:p>
    <w:p w14:paraId="4A6CCAA4" w14:textId="49D25EBB" w:rsidR="007C5E58" w:rsidRPr="007C5E58" w:rsidRDefault="007C5E58" w:rsidP="007C5E58">
      <w:pPr>
        <w:pStyle w:val="TTPParagraphothers"/>
        <w:ind w:firstLine="284"/>
      </w:pPr>
      <w:r w:rsidRPr="007C5E58">
        <w:t>This</w:t>
      </w:r>
      <w:r>
        <w:t xml:space="preserve"> </w:t>
      </w:r>
      <w:r w:rsidRPr="007C5E58">
        <w:t>paper</w:t>
      </w:r>
      <w:r>
        <w:t xml:space="preserve"> </w:t>
      </w:r>
      <w:r w:rsidRPr="007C5E58">
        <w:t>presents</w:t>
      </w:r>
      <w:r>
        <w:t xml:space="preserve"> </w:t>
      </w:r>
      <w:r w:rsidRPr="007C5E58">
        <w:t>a</w:t>
      </w:r>
      <w:r>
        <w:t xml:space="preserve"> </w:t>
      </w:r>
      <w:r w:rsidRPr="007C5E58">
        <w:t>comprehensive</w:t>
      </w:r>
      <w:r>
        <w:t xml:space="preserve"> </w:t>
      </w:r>
      <w:r w:rsidRPr="007C5E58">
        <w:t>analysis,</w:t>
      </w:r>
      <w:r>
        <w:t xml:space="preserve"> </w:t>
      </w:r>
      <w:r w:rsidRPr="007C5E58">
        <w:t>utilizing</w:t>
      </w:r>
      <w:r>
        <w:t xml:space="preserve"> </w:t>
      </w:r>
      <w:r w:rsidRPr="007C5E58">
        <w:t>robust</w:t>
      </w:r>
      <w:r>
        <w:t xml:space="preserve"> </w:t>
      </w:r>
      <w:r w:rsidRPr="007C5E58">
        <w:t>data</w:t>
      </w:r>
      <w:r>
        <w:t xml:space="preserve"> </w:t>
      </w:r>
      <w:r w:rsidRPr="007C5E58">
        <w:t>to</w:t>
      </w:r>
      <w:r>
        <w:t xml:space="preserve"> </w:t>
      </w:r>
      <w:r w:rsidRPr="007C5E58">
        <w:t>project</w:t>
      </w:r>
      <w:r>
        <w:t xml:space="preserve"> </w:t>
      </w:r>
      <w:r w:rsidRPr="007C5E58">
        <w:t>trends</w:t>
      </w:r>
      <w:r>
        <w:t xml:space="preserve"> </w:t>
      </w:r>
      <w:r w:rsidRPr="007C5E58">
        <w:t>in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investment</w:t>
      </w:r>
      <w:r>
        <w:t xml:space="preserve"> </w:t>
      </w:r>
      <w:r w:rsidRPr="007C5E58">
        <w:t>while</w:t>
      </w:r>
      <w:r>
        <w:t xml:space="preserve"> </w:t>
      </w:r>
      <w:r w:rsidRPr="007C5E58">
        <w:t>considering</w:t>
      </w:r>
      <w:r>
        <w:t xml:space="preserve"> </w:t>
      </w:r>
      <w:r w:rsidRPr="007C5E58">
        <w:t>both</w:t>
      </w:r>
      <w:r>
        <w:t xml:space="preserve"> </w:t>
      </w:r>
      <w:r w:rsidRPr="007C5E58">
        <w:t>supply-side</w:t>
      </w:r>
      <w:r>
        <w:t xml:space="preserve"> </w:t>
      </w:r>
      <w:r w:rsidRPr="007C5E58">
        <w:t>costs</w:t>
      </w:r>
      <w:r>
        <w:t xml:space="preserve"> </w:t>
      </w:r>
      <w:r w:rsidRPr="007C5E58">
        <w:t>and</w:t>
      </w:r>
      <w:r>
        <w:t xml:space="preserve"> </w:t>
      </w:r>
      <w:r w:rsidRPr="007C5E58">
        <w:t>demand-side</w:t>
      </w:r>
      <w:r>
        <w:t xml:space="preserve"> </w:t>
      </w:r>
      <w:r w:rsidRPr="007C5E58">
        <w:t>pressures,</w:t>
      </w:r>
      <w:r>
        <w:t xml:space="preserve"> </w:t>
      </w:r>
      <w:r w:rsidRPr="007C5E58">
        <w:t>alongside</w:t>
      </w:r>
      <w:r>
        <w:t xml:space="preserve"> </w:t>
      </w:r>
      <w:r w:rsidRPr="007C5E58">
        <w:t>broader</w:t>
      </w:r>
      <w:r>
        <w:t xml:space="preserve"> </w:t>
      </w:r>
      <w:r w:rsidRPr="007C5E58">
        <w:t>macroeconomic</w:t>
      </w:r>
      <w:r>
        <w:t xml:space="preserve"> </w:t>
      </w:r>
      <w:r w:rsidRPr="007C5E58">
        <w:t>conditions.</w:t>
      </w:r>
    </w:p>
    <w:p w14:paraId="4AA6D7A9" w14:textId="77777777" w:rsidR="007C5E58" w:rsidRPr="007C5E58" w:rsidRDefault="007C5E58" w:rsidP="007C5E58">
      <w:pPr>
        <w:pStyle w:val="1"/>
        <w:numPr>
          <w:ilvl w:val="0"/>
          <w:numId w:val="9"/>
        </w:numPr>
        <w:ind w:left="420" w:hanging="420"/>
      </w:pPr>
      <w:r w:rsidRPr="007C5E58">
        <w:t>Methods</w:t>
      </w:r>
    </w:p>
    <w:p w14:paraId="7DAC3F50" w14:textId="7008C19C" w:rsidR="007C5E58" w:rsidRPr="007C5E58" w:rsidRDefault="007C5E58" w:rsidP="007C5E58">
      <w:pPr>
        <w:pStyle w:val="2"/>
        <w:numPr>
          <w:ilvl w:val="1"/>
          <w:numId w:val="9"/>
        </w:numPr>
        <w:ind w:left="420" w:hanging="420"/>
      </w:pPr>
      <w:r w:rsidRPr="007C5E58">
        <w:t>Data</w:t>
      </w:r>
      <w:r>
        <w:t xml:space="preserve"> </w:t>
      </w:r>
      <w:r w:rsidRPr="007C5E58">
        <w:t>Source</w:t>
      </w:r>
    </w:p>
    <w:p w14:paraId="5405E6DC" w14:textId="34F9B1E2" w:rsidR="007C5E58" w:rsidRPr="007C5E58" w:rsidRDefault="007C5E58" w:rsidP="007C5E58">
      <w:pPr>
        <w:pStyle w:val="TTPParagraphothers"/>
        <w:ind w:firstLine="284"/>
        <w:textAlignment w:val="center"/>
      </w:pP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quantitative</w:t>
      </w:r>
      <w:r>
        <w:t xml:space="preserve"> </w:t>
      </w:r>
      <w:r w:rsidRPr="007C5E58">
        <w:t>assessment,</w:t>
      </w:r>
      <w:r>
        <w:t xml:space="preserve"> </w:t>
      </w:r>
      <w:r w:rsidRPr="007C5E58">
        <w:t>this</w:t>
      </w:r>
      <w:r>
        <w:t xml:space="preserve"> </w:t>
      </w:r>
      <w:r w:rsidRPr="007C5E58">
        <w:t>paper</w:t>
      </w:r>
      <w:r>
        <w:t xml:space="preserve"> </w:t>
      </w:r>
      <w:r w:rsidRPr="007C5E58">
        <w:t>has</w:t>
      </w:r>
      <w:r>
        <w:t xml:space="preserve"> </w:t>
      </w:r>
      <w:r w:rsidRPr="007C5E58">
        <w:t>leveraged</w:t>
      </w:r>
      <w:r>
        <w:t xml:space="preserve"> </w:t>
      </w:r>
      <w:r w:rsidRPr="007C5E58">
        <w:t>the</w:t>
      </w:r>
      <w:r>
        <w:t xml:space="preserve"> </w:t>
      </w:r>
      <w:r w:rsidRPr="007C5E58">
        <w:t>official</w:t>
      </w:r>
      <w:r>
        <w:t xml:space="preserve"> </w:t>
      </w:r>
      <w:r w:rsidRPr="007C5E58">
        <w:t>statistical</w:t>
      </w:r>
      <w:r>
        <w:t xml:space="preserve"> </w:t>
      </w:r>
      <w:r w:rsidRPr="007C5E58">
        <w:t>data</w:t>
      </w:r>
      <w:r>
        <w:t xml:space="preserve"> </w:t>
      </w:r>
      <w:r w:rsidRPr="007C5E58">
        <w:t>sanctioned</w:t>
      </w:r>
      <w:r>
        <w:t xml:space="preserve"> </w:t>
      </w:r>
      <w:r w:rsidRPr="007C5E58">
        <w:t>by</w:t>
      </w:r>
      <w:r>
        <w:t xml:space="preserve"> </w:t>
      </w:r>
      <w:r w:rsidRPr="007C5E58">
        <w:t>the</w:t>
      </w:r>
      <w:r>
        <w:t xml:space="preserve"> </w:t>
      </w:r>
      <w:r w:rsidRPr="007C5E58">
        <w:t>National</w:t>
      </w:r>
      <w:r>
        <w:t xml:space="preserve"> </w:t>
      </w:r>
      <w:r w:rsidRPr="007C5E58">
        <w:t>Bureau</w:t>
      </w:r>
      <w:r>
        <w:t xml:space="preserve"> </w:t>
      </w:r>
      <w:r w:rsidRPr="007C5E58">
        <w:t>of</w:t>
      </w:r>
      <w:r>
        <w:t xml:space="preserve"> </w:t>
      </w:r>
      <w:r w:rsidRPr="007C5E58">
        <w:t>Statistics</w:t>
      </w:r>
      <w:r>
        <w:t xml:space="preserve"> </w:t>
      </w:r>
      <w:r w:rsidRPr="007C5E58">
        <w:t>of</w:t>
      </w:r>
      <w:r>
        <w:t xml:space="preserve"> </w:t>
      </w:r>
      <w:r w:rsidRPr="007C5E58">
        <w:t>China.</w:t>
      </w:r>
      <w:r>
        <w:t xml:space="preserve"> </w:t>
      </w:r>
      <w:r w:rsidRPr="007C5E58">
        <w:t>The</w:t>
      </w:r>
      <w:r>
        <w:t xml:space="preserve"> </w:t>
      </w:r>
      <w:r w:rsidRPr="007C5E58">
        <w:rPr>
          <w:lang w:eastAsia="zh-CN"/>
        </w:rPr>
        <w:t>author</w:t>
      </w:r>
      <w:r>
        <w:t xml:space="preserve"> </w:t>
      </w:r>
      <w:r w:rsidRPr="007C5E58">
        <w:t>has</w:t>
      </w:r>
      <w:r>
        <w:t xml:space="preserve"> </w:t>
      </w:r>
      <w:r w:rsidRPr="007C5E58">
        <w:t>systematically</w:t>
      </w:r>
      <w:r>
        <w:t xml:space="preserve"> </w:t>
      </w:r>
      <w:r w:rsidRPr="007C5E58">
        <w:t>selected</w:t>
      </w:r>
      <w:r>
        <w:t xml:space="preserve"> </w:t>
      </w:r>
      <w:r w:rsidRPr="007C5E58">
        <w:t>six</w:t>
      </w:r>
      <w:r>
        <w:t xml:space="preserve"> </w:t>
      </w:r>
      <w:r w:rsidRPr="007C5E58">
        <w:t>variables</w:t>
      </w:r>
      <w:r>
        <w:t xml:space="preserve"> </w:t>
      </w:r>
      <w:r w:rsidRPr="007C5E58">
        <w:t>that</w:t>
      </w:r>
      <w:r>
        <w:t xml:space="preserve"> </w:t>
      </w:r>
      <w:r w:rsidRPr="007C5E58">
        <w:t>are</w:t>
      </w:r>
      <w:r>
        <w:t xml:space="preserve"> </w:t>
      </w:r>
      <w:r w:rsidRPr="007C5E58">
        <w:t>critical</w:t>
      </w:r>
      <w:r>
        <w:t xml:space="preserve"> </w:t>
      </w:r>
      <w:r w:rsidRPr="007C5E58">
        <w:t>to</w:t>
      </w:r>
      <w:r>
        <w:t xml:space="preserve"> </w:t>
      </w:r>
      <w:r w:rsidRPr="007C5E58">
        <w:t>the</w:t>
      </w:r>
      <w:r>
        <w:t xml:space="preserve"> </w:t>
      </w:r>
      <w:r w:rsidRPr="007C5E58">
        <w:t>comprehensive</w:t>
      </w:r>
      <w:r>
        <w:t xml:space="preserve"> </w:t>
      </w:r>
      <w:r w:rsidRPr="007C5E58">
        <w:t>analysis</w:t>
      </w:r>
      <w:r>
        <w:t xml:space="preserve"> </w:t>
      </w:r>
      <w:r w:rsidRPr="007C5E58">
        <w:t>of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investment</w:t>
      </w:r>
      <w:r>
        <w:t xml:space="preserve"> </w:t>
      </w:r>
      <w:r w:rsidRPr="007C5E58">
        <w:t>dynamics.</w:t>
      </w:r>
      <w:r>
        <w:t xml:space="preserve"> </w:t>
      </w:r>
      <w:r w:rsidRPr="007C5E58">
        <w:rPr>
          <w:lang w:eastAsia="zh-CN"/>
        </w:rPr>
        <w:t>This</w:t>
      </w:r>
      <w:r>
        <w:rPr>
          <w:lang w:eastAsia="zh-CN"/>
        </w:rPr>
        <w:t xml:space="preserve"> </w:t>
      </w:r>
      <w:r w:rsidRPr="007C5E58">
        <w:rPr>
          <w:lang w:eastAsia="zh-CN"/>
        </w:rPr>
        <w:t>paper’s</w:t>
      </w:r>
      <w:r>
        <w:rPr>
          <w:lang w:eastAsia="zh-CN"/>
        </w:rPr>
        <w:t xml:space="preserve"> </w:t>
      </w:r>
      <w:r w:rsidRPr="007C5E58">
        <w:rPr>
          <w:lang w:eastAsia="zh-CN"/>
        </w:rPr>
        <w:t>a</w:t>
      </w:r>
      <w:r w:rsidRPr="007C5E58">
        <w:t>nalytical</w:t>
      </w:r>
      <w:r>
        <w:t xml:space="preserve"> </w:t>
      </w:r>
      <w:r w:rsidRPr="007C5E58">
        <w:t>model</w:t>
      </w:r>
      <w:r>
        <w:t xml:space="preserve"> </w:t>
      </w:r>
      <w:r w:rsidRPr="007C5E58">
        <w:t>positions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infrastructure</w:t>
      </w:r>
      <w:r>
        <w:t xml:space="preserve"> </w:t>
      </w:r>
      <w:r w:rsidRPr="007C5E58">
        <w:t>investment</w:t>
      </w:r>
      <w:r>
        <w:t xml:space="preserve"> </w:t>
      </w:r>
      <w:r w:rsidRPr="007C5E58">
        <w:t>as</w:t>
      </w:r>
      <w:r>
        <w:t xml:space="preserve"> </w:t>
      </w:r>
      <w:r w:rsidRPr="007C5E58">
        <w:t>the</w:t>
      </w:r>
      <w:r>
        <w:t xml:space="preserve"> </w:t>
      </w:r>
      <w:r w:rsidRPr="007C5E58">
        <w:t>dependent</w:t>
      </w:r>
      <w:r>
        <w:t xml:space="preserve"> </w:t>
      </w:r>
      <w:r w:rsidRPr="007C5E58">
        <w:t>variable,</w:t>
      </w:r>
      <w:r>
        <w:t xml:space="preserve"> </w:t>
      </w:r>
      <w:r w:rsidRPr="007C5E58">
        <w:t>which</w:t>
      </w:r>
      <w:r>
        <w:t xml:space="preserve"> </w:t>
      </w:r>
      <w:r w:rsidRPr="007C5E58">
        <w:t>is</w:t>
      </w:r>
      <w:r>
        <w:t xml:space="preserve"> </w:t>
      </w:r>
      <w:r w:rsidRPr="007C5E58">
        <w:t>critically</w:t>
      </w:r>
      <w:r>
        <w:t xml:space="preserve"> </w:t>
      </w:r>
      <w:r w:rsidRPr="007C5E58">
        <w:t>influenced</w:t>
      </w:r>
      <w:r>
        <w:t xml:space="preserve"> </w:t>
      </w:r>
      <w:r w:rsidRPr="007C5E58">
        <w:t>by</w:t>
      </w:r>
      <w:r>
        <w:t xml:space="preserve"> </w:t>
      </w:r>
      <w:r w:rsidRPr="007C5E58">
        <w:t>three</w:t>
      </w:r>
      <w:r>
        <w:t xml:space="preserve"> </w:t>
      </w:r>
      <w:r w:rsidRPr="007C5E58">
        <w:t>supply-side</w:t>
      </w:r>
      <w:r>
        <w:t xml:space="preserve"> </w:t>
      </w:r>
      <w:r w:rsidRPr="007C5E58">
        <w:t>variables:</w:t>
      </w:r>
      <w:r>
        <w:t xml:space="preserve"> </w:t>
      </w:r>
      <w:r w:rsidRPr="007C5E58">
        <w:t>the</w:t>
      </w:r>
      <w:r>
        <w:t xml:space="preserve"> </w:t>
      </w:r>
      <w:r w:rsidRPr="007C5E58">
        <w:t>output</w:t>
      </w:r>
      <w:r>
        <w:t xml:space="preserve"> </w:t>
      </w:r>
      <w:r w:rsidRPr="007C5E58">
        <w:t>of</w:t>
      </w:r>
      <w:r>
        <w:t xml:space="preserve"> </w:t>
      </w:r>
      <w:r w:rsidRPr="007C5E58">
        <w:t>steel,</w:t>
      </w:r>
      <w:r>
        <w:t xml:space="preserve"> </w:t>
      </w:r>
      <w:r w:rsidRPr="007C5E58">
        <w:t>aluminum,</w:t>
      </w:r>
      <w:r>
        <w:t xml:space="preserve"> </w:t>
      </w:r>
      <w:r w:rsidRPr="007C5E58">
        <w:t>and</w:t>
      </w:r>
      <w:r>
        <w:t xml:space="preserve"> </w:t>
      </w:r>
      <w:r w:rsidRPr="007C5E58">
        <w:t>cement.</w:t>
      </w:r>
      <w:r>
        <w:t xml:space="preserve"> </w:t>
      </w:r>
      <w:r w:rsidRPr="007C5E58">
        <w:t>These</w:t>
      </w:r>
      <w:r>
        <w:t xml:space="preserve"> </w:t>
      </w:r>
      <w:r w:rsidRPr="007C5E58">
        <w:t>variables</w:t>
      </w:r>
      <w:r>
        <w:t xml:space="preserve"> </w:t>
      </w:r>
      <w:r w:rsidRPr="007C5E58">
        <w:t>are</w:t>
      </w:r>
      <w:r>
        <w:t xml:space="preserve"> </w:t>
      </w:r>
      <w:r w:rsidRPr="007C5E58">
        <w:t>essential</w:t>
      </w:r>
      <w:r>
        <w:t xml:space="preserve"> </w:t>
      </w:r>
      <w:r w:rsidRPr="007C5E58">
        <w:t>in</w:t>
      </w:r>
      <w:r>
        <w:t xml:space="preserve"> </w:t>
      </w:r>
      <w:r w:rsidRPr="007C5E58">
        <w:t>quantifying</w:t>
      </w:r>
      <w:r>
        <w:t xml:space="preserve"> </w:t>
      </w:r>
      <w:r w:rsidRPr="007C5E58">
        <w:t>and</w:t>
      </w:r>
      <w:r>
        <w:t xml:space="preserve"> </w:t>
      </w:r>
      <w:r w:rsidRPr="007C5E58">
        <w:t>understanding</w:t>
      </w:r>
      <w:r>
        <w:t xml:space="preserve"> </w:t>
      </w:r>
      <w:r w:rsidRPr="007C5E58">
        <w:t>the</w:t>
      </w:r>
      <w:r>
        <w:t xml:space="preserve"> </w:t>
      </w:r>
      <w:r w:rsidRPr="007C5E58">
        <w:t>investment</w:t>
      </w:r>
      <w:r>
        <w:t xml:space="preserve"> </w:t>
      </w:r>
      <w:r w:rsidRPr="007C5E58">
        <w:t>patterns</w:t>
      </w:r>
      <w:r>
        <w:t xml:space="preserve"> </w:t>
      </w:r>
      <w:r w:rsidRPr="007C5E58">
        <w:t>within</w:t>
      </w:r>
      <w:r>
        <w:t xml:space="preserve"> </w:t>
      </w:r>
      <w:r w:rsidRPr="007C5E58">
        <w:t>the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sector.</w:t>
      </w:r>
    </w:p>
    <w:p w14:paraId="01765713" w14:textId="73797DCA" w:rsidR="007C5E58" w:rsidRPr="007C5E58" w:rsidRDefault="007C5E58" w:rsidP="007C5E58">
      <w:pPr>
        <w:pStyle w:val="TTPParagraphothers"/>
        <w:ind w:firstLine="284"/>
        <w:textAlignment w:val="center"/>
      </w:pPr>
      <w:r w:rsidRPr="007C5E58">
        <w:t>Moreover,</w:t>
      </w:r>
      <w:r>
        <w:t xml:space="preserve"> </w:t>
      </w:r>
      <w:r w:rsidRPr="007C5E58">
        <w:t>this</w:t>
      </w:r>
      <w:r>
        <w:t xml:space="preserve"> </w:t>
      </w:r>
      <w:r w:rsidRPr="007C5E58">
        <w:t>paper</w:t>
      </w:r>
      <w:r>
        <w:t xml:space="preserve"> </w:t>
      </w:r>
      <w:r w:rsidRPr="007C5E58">
        <w:t>has</w:t>
      </w:r>
      <w:r>
        <w:t xml:space="preserve"> </w:t>
      </w:r>
      <w:r w:rsidRPr="007C5E58">
        <w:t>included</w:t>
      </w:r>
      <w:r>
        <w:t xml:space="preserve"> </w:t>
      </w:r>
      <w:r w:rsidRPr="007C5E58">
        <w:t>the</w:t>
      </w:r>
      <w:r>
        <w:t xml:space="preserve"> </w:t>
      </w:r>
      <w:r w:rsidRPr="007C5E58">
        <w:t>M2</w:t>
      </w:r>
      <w:r>
        <w:t xml:space="preserve"> </w:t>
      </w:r>
      <w:r w:rsidRPr="007C5E58">
        <w:t>money</w:t>
      </w:r>
      <w:r>
        <w:t xml:space="preserve"> </w:t>
      </w:r>
      <w:r w:rsidRPr="007C5E58">
        <w:t>supply</w:t>
      </w:r>
      <w:r>
        <w:t xml:space="preserve"> </w:t>
      </w:r>
      <w:r w:rsidRPr="007C5E58">
        <w:t>as</w:t>
      </w:r>
      <w:r>
        <w:t xml:space="preserve"> </w:t>
      </w:r>
      <w:r w:rsidRPr="007C5E58">
        <w:t>a</w:t>
      </w:r>
      <w:r>
        <w:t xml:space="preserve"> </w:t>
      </w:r>
      <w:r w:rsidRPr="007C5E58">
        <w:t>macroeconomic</w:t>
      </w:r>
      <w:r>
        <w:t xml:space="preserve"> </w:t>
      </w:r>
      <w:r w:rsidRPr="007C5E58">
        <w:t>proxy,</w:t>
      </w:r>
      <w:r>
        <w:t xml:space="preserve"> </w:t>
      </w:r>
      <w:r w:rsidRPr="007C5E58">
        <w:t>reflecting</w:t>
      </w:r>
      <w:r>
        <w:t xml:space="preserve"> </w:t>
      </w:r>
      <w:r w:rsidRPr="007C5E58">
        <w:t>the</w:t>
      </w:r>
      <w:r>
        <w:t xml:space="preserve"> </w:t>
      </w:r>
      <w:r w:rsidRPr="007C5E58">
        <w:t>purchasing</w:t>
      </w:r>
      <w:r>
        <w:t xml:space="preserve"> </w:t>
      </w:r>
      <w:r w:rsidRPr="007C5E58">
        <w:t>power</w:t>
      </w:r>
      <w:r>
        <w:t xml:space="preserve"> </w:t>
      </w:r>
      <w:r w:rsidRPr="007C5E58">
        <w:t>of</w:t>
      </w:r>
      <w:r>
        <w:t xml:space="preserve"> </w:t>
      </w:r>
      <w:r w:rsidRPr="007C5E58">
        <w:t>potential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buyers</w:t>
      </w:r>
      <w:r>
        <w:t xml:space="preserve"> </w:t>
      </w:r>
      <w:r w:rsidRPr="007C5E58">
        <w:t>and</w:t>
      </w:r>
      <w:r>
        <w:t xml:space="preserve"> </w:t>
      </w:r>
      <w:r w:rsidRPr="007C5E58">
        <w:t>their</w:t>
      </w:r>
      <w:r>
        <w:t xml:space="preserve"> </w:t>
      </w:r>
      <w:r w:rsidRPr="007C5E58">
        <w:t>ability</w:t>
      </w:r>
      <w:r>
        <w:t xml:space="preserve"> </w:t>
      </w:r>
      <w:r w:rsidRPr="007C5E58">
        <w:t>to</w:t>
      </w:r>
      <w:r>
        <w:t xml:space="preserve"> </w:t>
      </w:r>
      <w:r w:rsidRPr="007C5E58">
        <w:t>procure</w:t>
      </w:r>
      <w:r>
        <w:t xml:space="preserve"> </w:t>
      </w:r>
      <w:r w:rsidRPr="007C5E58">
        <w:t>property,</w:t>
      </w:r>
      <w:r>
        <w:t xml:space="preserve"> </w:t>
      </w:r>
      <w:r w:rsidRPr="007C5E58">
        <w:t>which</w:t>
      </w:r>
      <w:r>
        <w:t xml:space="preserve"> </w:t>
      </w:r>
      <w:r w:rsidRPr="007C5E58">
        <w:t>informs</w:t>
      </w:r>
      <w:r>
        <w:t xml:space="preserve"> </w:t>
      </w:r>
      <w:r w:rsidRPr="007C5E58">
        <w:t>the</w:t>
      </w:r>
      <w:r>
        <w:t xml:space="preserve"> </w:t>
      </w:r>
      <w:r w:rsidRPr="007C5E58">
        <w:t>demand</w:t>
      </w:r>
      <w:r>
        <w:t xml:space="preserve"> </w:t>
      </w:r>
      <w:r w:rsidRPr="007C5E58">
        <w:t>side</w:t>
      </w:r>
      <w:r>
        <w:t xml:space="preserve"> </w:t>
      </w:r>
      <w:r w:rsidRPr="007C5E58">
        <w:t>of</w:t>
      </w:r>
      <w:r>
        <w:t xml:space="preserve"> </w:t>
      </w:r>
      <w:r w:rsidRPr="007C5E58">
        <w:t>the</w:t>
      </w:r>
      <w:r>
        <w:t xml:space="preserve"> </w:t>
      </w:r>
      <w:r w:rsidRPr="007C5E58">
        <w:t>market.</w:t>
      </w:r>
      <w:r>
        <w:t xml:space="preserve"> </w:t>
      </w:r>
      <w:r w:rsidRPr="007C5E58">
        <w:t>Sales</w:t>
      </w:r>
      <w:r>
        <w:t xml:space="preserve"> </w:t>
      </w:r>
      <w:r w:rsidRPr="007C5E58">
        <w:t>volume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sector</w:t>
      </w:r>
      <w:r>
        <w:t xml:space="preserve"> </w:t>
      </w:r>
      <w:r w:rsidRPr="007C5E58">
        <w:t>is</w:t>
      </w:r>
      <w:r>
        <w:t xml:space="preserve"> </w:t>
      </w:r>
      <w:r w:rsidRPr="007C5E58">
        <w:t>also</w:t>
      </w:r>
      <w:r>
        <w:t xml:space="preserve"> </w:t>
      </w:r>
      <w:r w:rsidRPr="007C5E58">
        <w:t>scrutinized,</w:t>
      </w:r>
      <w:r>
        <w:t xml:space="preserve"> </w:t>
      </w:r>
      <w:r w:rsidRPr="007C5E58">
        <w:t>offering</w:t>
      </w:r>
      <w:r>
        <w:t xml:space="preserve"> </w:t>
      </w:r>
      <w:r w:rsidRPr="007C5E58">
        <w:t>a</w:t>
      </w:r>
      <w:r>
        <w:t xml:space="preserve"> </w:t>
      </w:r>
      <w:r w:rsidRPr="007C5E58">
        <w:t>granular</w:t>
      </w:r>
      <w:r>
        <w:t xml:space="preserve"> </w:t>
      </w:r>
      <w:r w:rsidRPr="007C5E58">
        <w:t>view</w:t>
      </w:r>
      <w:r>
        <w:t xml:space="preserve"> </w:t>
      </w:r>
      <w:r w:rsidRPr="007C5E58">
        <w:t>of</w:t>
      </w:r>
      <w:r>
        <w:t xml:space="preserve"> </w:t>
      </w:r>
      <w:r w:rsidRPr="007C5E58">
        <w:t>market</w:t>
      </w:r>
      <w:r>
        <w:t xml:space="preserve"> </w:t>
      </w:r>
      <w:r w:rsidRPr="007C5E58">
        <w:t>demand</w:t>
      </w:r>
      <w:r>
        <w:t xml:space="preserve"> </w:t>
      </w:r>
      <w:r w:rsidRPr="007C5E58">
        <w:t>and</w:t>
      </w:r>
      <w:r>
        <w:t xml:space="preserve"> </w:t>
      </w:r>
      <w:r w:rsidRPr="007C5E58">
        <w:t>enabling</w:t>
      </w:r>
      <w:r>
        <w:t xml:space="preserve"> </w:t>
      </w:r>
      <w:r w:rsidRPr="007C5E58">
        <w:t>us</w:t>
      </w:r>
      <w:r>
        <w:t xml:space="preserve"> </w:t>
      </w:r>
      <w:r w:rsidRPr="007C5E58">
        <w:t>to</w:t>
      </w:r>
      <w:r>
        <w:t xml:space="preserve"> </w:t>
      </w:r>
      <w:r w:rsidRPr="007C5E58">
        <w:t>infer</w:t>
      </w:r>
      <w:r>
        <w:t xml:space="preserve"> </w:t>
      </w:r>
      <w:r w:rsidRPr="007C5E58">
        <w:t>the</w:t>
      </w:r>
      <w:r>
        <w:t xml:space="preserve"> </w:t>
      </w:r>
      <w:r w:rsidRPr="007C5E58">
        <w:t>corresponding</w:t>
      </w:r>
      <w:r>
        <w:t xml:space="preserve"> </w:t>
      </w:r>
      <w:r w:rsidRPr="007C5E58">
        <w:t>strategic</w:t>
      </w:r>
      <w:r>
        <w:t xml:space="preserve"> </w:t>
      </w:r>
      <w:r w:rsidRPr="007C5E58">
        <w:t>forecasts</w:t>
      </w:r>
      <w:r>
        <w:t xml:space="preserve"> </w:t>
      </w:r>
      <w:r w:rsidRPr="007C5E58">
        <w:t>and</w:t>
      </w:r>
      <w:r>
        <w:t xml:space="preserve"> </w:t>
      </w:r>
      <w:r w:rsidRPr="007C5E58">
        <w:t>investment</w:t>
      </w:r>
      <w:r>
        <w:t xml:space="preserve"> </w:t>
      </w:r>
      <w:r w:rsidRPr="007C5E58">
        <w:t>plans</w:t>
      </w:r>
      <w:r>
        <w:t xml:space="preserve"> </w:t>
      </w:r>
      <w:r w:rsidRPr="007C5E58">
        <w:t>of</w:t>
      </w:r>
      <w:r>
        <w:t xml:space="preserve"> </w:t>
      </w:r>
      <w:r w:rsidRPr="007C5E58">
        <w:t>property</w:t>
      </w:r>
      <w:r>
        <w:t xml:space="preserve"> </w:t>
      </w:r>
      <w:r w:rsidRPr="007C5E58">
        <w:t>developers.</w:t>
      </w:r>
    </w:p>
    <w:p w14:paraId="33F71C84" w14:textId="1E881B70" w:rsidR="007C5E58" w:rsidRPr="007C5E58" w:rsidRDefault="007C5E58" w:rsidP="007C5E58">
      <w:pPr>
        <w:pStyle w:val="TTPParagraphothers"/>
        <w:ind w:firstLine="284"/>
        <w:textAlignment w:val="center"/>
      </w:pPr>
      <w:r w:rsidRPr="007C5E58">
        <w:t>The</w:t>
      </w:r>
      <w:r>
        <w:t xml:space="preserve"> </w:t>
      </w:r>
      <w:r w:rsidRPr="007C5E58">
        <w:t>prognostic</w:t>
      </w:r>
      <w:r>
        <w:t xml:space="preserve"> </w:t>
      </w:r>
      <w:r w:rsidRPr="007C5E58">
        <w:t>model,</w:t>
      </w:r>
      <w:r>
        <w:t xml:space="preserve"> </w:t>
      </w:r>
      <w:r w:rsidRPr="007C5E58">
        <w:t>composed</w:t>
      </w:r>
      <w:r>
        <w:t xml:space="preserve"> </w:t>
      </w:r>
      <w:r w:rsidRPr="007C5E58">
        <w:t>of</w:t>
      </w:r>
      <w:r>
        <w:t xml:space="preserve"> </w:t>
      </w:r>
      <w:r w:rsidRPr="007C5E58">
        <w:t>one</w:t>
      </w:r>
      <w:r>
        <w:t xml:space="preserve"> </w:t>
      </w:r>
      <w:r w:rsidRPr="007C5E58">
        <w:t>dependent</w:t>
      </w:r>
      <w:r>
        <w:t xml:space="preserve"> </w:t>
      </w:r>
      <w:r w:rsidRPr="007C5E58">
        <w:t>and</w:t>
      </w:r>
      <w:r>
        <w:t xml:space="preserve"> </w:t>
      </w:r>
      <w:r w:rsidRPr="007C5E58">
        <w:t>five</w:t>
      </w:r>
      <w:r>
        <w:t xml:space="preserve"> </w:t>
      </w:r>
      <w:r w:rsidRPr="007C5E58">
        <w:t>independent</w:t>
      </w:r>
      <w:r>
        <w:t xml:space="preserve"> </w:t>
      </w:r>
      <w:r w:rsidRPr="007C5E58">
        <w:t>variables,</w:t>
      </w:r>
      <w:r>
        <w:t xml:space="preserve"> </w:t>
      </w:r>
      <w:r w:rsidRPr="007C5E58">
        <w:t>is</w:t>
      </w:r>
      <w:r>
        <w:t xml:space="preserve"> </w:t>
      </w:r>
      <w:r w:rsidRPr="007C5E58">
        <w:t>utilized</w:t>
      </w:r>
      <w:r>
        <w:t xml:space="preserve"> </w:t>
      </w:r>
      <w:r w:rsidRPr="007C5E58">
        <w:t>to</w:t>
      </w:r>
      <w:r>
        <w:t xml:space="preserve"> </w:t>
      </w:r>
      <w:r w:rsidRPr="007C5E58">
        <w:t>project</w:t>
      </w:r>
      <w:r>
        <w:t xml:space="preserve"> </w:t>
      </w:r>
      <w:r w:rsidRPr="007C5E58">
        <w:t>future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investment</w:t>
      </w:r>
      <w:r>
        <w:t xml:space="preserve"> </w:t>
      </w:r>
      <w:r w:rsidRPr="007C5E58">
        <w:t>volumes.</w:t>
      </w:r>
      <w:r>
        <w:t xml:space="preserve"> </w:t>
      </w:r>
      <w:r w:rsidRPr="007C5E58">
        <w:t>This</w:t>
      </w:r>
      <w:r>
        <w:t xml:space="preserve"> </w:t>
      </w:r>
      <w:r w:rsidRPr="007C5E58">
        <w:t>paper</w:t>
      </w:r>
      <w:r>
        <w:t xml:space="preserve"> </w:t>
      </w:r>
      <w:r w:rsidRPr="007C5E58">
        <w:t>has</w:t>
      </w:r>
      <w:r>
        <w:t xml:space="preserve"> </w:t>
      </w:r>
      <w:r w:rsidRPr="007C5E58">
        <w:t>harnessed</w:t>
      </w:r>
      <w:r>
        <w:t xml:space="preserve"> </w:t>
      </w:r>
      <w:r w:rsidRPr="007C5E58">
        <w:t>monthly</w:t>
      </w:r>
      <w:r>
        <w:t xml:space="preserve"> </w:t>
      </w:r>
      <w:r w:rsidRPr="007C5E58">
        <w:t>data</w:t>
      </w:r>
      <w:r>
        <w:t xml:space="preserve"> </w:t>
      </w:r>
      <w:r w:rsidRPr="007C5E58">
        <w:t>spanning</w:t>
      </w:r>
      <w:r>
        <w:t xml:space="preserve"> </w:t>
      </w:r>
      <w:r w:rsidRPr="007C5E58">
        <w:t>184</w:t>
      </w:r>
      <w:r>
        <w:t xml:space="preserve"> </w:t>
      </w:r>
      <w:r w:rsidRPr="007C5E58">
        <w:t>points</w:t>
      </w:r>
      <w:r>
        <w:t xml:space="preserve"> </w:t>
      </w:r>
      <w:r w:rsidRPr="007C5E58">
        <w:t>for</w:t>
      </w:r>
      <w:r>
        <w:t xml:space="preserve"> </w:t>
      </w:r>
      <w:r w:rsidRPr="007C5E58">
        <w:t>each</w:t>
      </w:r>
      <w:r>
        <w:t xml:space="preserve"> </w:t>
      </w:r>
      <w:r w:rsidRPr="007C5E58">
        <w:t>variable,</w:t>
      </w:r>
      <w:r>
        <w:t xml:space="preserve"> </w:t>
      </w:r>
      <w:r w:rsidRPr="007C5E58">
        <w:t>a</w:t>
      </w:r>
      <w:r>
        <w:t xml:space="preserve"> </w:t>
      </w:r>
      <w:r w:rsidRPr="007C5E58">
        <w:t>dataset</w:t>
      </w:r>
      <w:r>
        <w:t xml:space="preserve"> </w:t>
      </w:r>
      <w:r w:rsidRPr="007C5E58">
        <w:t>enriched</w:t>
      </w:r>
      <w:r>
        <w:t xml:space="preserve"> </w:t>
      </w:r>
      <w:r w:rsidRPr="007C5E58">
        <w:t>by</w:t>
      </w:r>
      <w:r>
        <w:t xml:space="preserve"> </w:t>
      </w:r>
      <w:r w:rsidRPr="007C5E58">
        <w:t>its</w:t>
      </w:r>
      <w:r>
        <w:t xml:space="preserve"> </w:t>
      </w:r>
      <w:r w:rsidRPr="007C5E58">
        <w:t>inclusion</w:t>
      </w:r>
      <w:r>
        <w:t xml:space="preserve"> </w:t>
      </w:r>
      <w:r w:rsidRPr="007C5E58">
        <w:t>of</w:t>
      </w:r>
      <w:r>
        <w:t xml:space="preserve"> </w:t>
      </w:r>
      <w:r w:rsidRPr="007C5E58">
        <w:t>major</w:t>
      </w:r>
      <w:r>
        <w:t xml:space="preserve"> </w:t>
      </w:r>
      <w:r w:rsidRPr="007C5E58">
        <w:t>economic</w:t>
      </w:r>
      <w:r>
        <w:t xml:space="preserve"> </w:t>
      </w:r>
      <w:r w:rsidRPr="007C5E58">
        <w:t>milestones</w:t>
      </w:r>
      <w:r>
        <w:t xml:space="preserve"> </w:t>
      </w:r>
      <w:r w:rsidRPr="007C5E58">
        <w:t>such</w:t>
      </w:r>
      <w:r>
        <w:t xml:space="preserve"> </w:t>
      </w:r>
      <w:r w:rsidRPr="007C5E58">
        <w:t>as</w:t>
      </w:r>
      <w:r>
        <w:t xml:space="preserve"> </w:t>
      </w:r>
      <w:r w:rsidRPr="007C5E58">
        <w:t>the</w:t>
      </w:r>
      <w:r>
        <w:t xml:space="preserve"> </w:t>
      </w:r>
      <w:r w:rsidRPr="007C5E58">
        <w:t>2008</w:t>
      </w:r>
      <w:r>
        <w:t xml:space="preserve"> </w:t>
      </w:r>
      <w:r w:rsidRPr="007C5E58">
        <w:t>financial</w:t>
      </w:r>
      <w:r>
        <w:t xml:space="preserve"> </w:t>
      </w:r>
      <w:r w:rsidRPr="007C5E58">
        <w:t>crisis</w:t>
      </w:r>
      <w:r>
        <w:t xml:space="preserve"> </w:t>
      </w:r>
      <w:r w:rsidRPr="007C5E58">
        <w:t>and</w:t>
      </w:r>
      <w:r>
        <w:t xml:space="preserve"> </w:t>
      </w:r>
      <w:r w:rsidRPr="007C5E58">
        <w:t>the</w:t>
      </w:r>
      <w:r>
        <w:t xml:space="preserve"> </w:t>
      </w:r>
      <w:r w:rsidRPr="007C5E58">
        <w:t>2019</w:t>
      </w:r>
      <w:r>
        <w:t xml:space="preserve"> </w:t>
      </w:r>
      <w:r w:rsidRPr="007C5E58">
        <w:t>COVID-19</w:t>
      </w:r>
      <w:r>
        <w:t xml:space="preserve"> </w:t>
      </w:r>
      <w:r w:rsidRPr="007C5E58">
        <w:t>pandemic.</w:t>
      </w:r>
      <w:r>
        <w:t xml:space="preserve"> </w:t>
      </w:r>
      <w:r w:rsidRPr="007C5E58">
        <w:t>This</w:t>
      </w:r>
      <w:r>
        <w:t xml:space="preserve"> </w:t>
      </w:r>
      <w:r w:rsidRPr="007C5E58">
        <w:t>substantial</w:t>
      </w:r>
      <w:r>
        <w:t xml:space="preserve"> </w:t>
      </w:r>
      <w:r w:rsidRPr="007C5E58">
        <w:t>time</w:t>
      </w:r>
      <w:r>
        <w:t xml:space="preserve"> </w:t>
      </w:r>
      <w:r w:rsidRPr="007C5E58">
        <w:t>frame</w:t>
      </w:r>
      <w:r>
        <w:t xml:space="preserve"> </w:t>
      </w:r>
      <w:r w:rsidRPr="007C5E58">
        <w:t>allows</w:t>
      </w:r>
      <w:r>
        <w:t xml:space="preserve"> </w:t>
      </w:r>
      <w:r w:rsidRPr="007C5E58">
        <w:t>for</w:t>
      </w:r>
      <w:r>
        <w:t xml:space="preserve"> </w:t>
      </w:r>
      <w:r w:rsidRPr="007C5E58">
        <w:t>a</w:t>
      </w:r>
      <w:r>
        <w:t xml:space="preserve"> </w:t>
      </w:r>
      <w:r w:rsidRPr="007C5E58">
        <w:t>robust</w:t>
      </w:r>
      <w:r>
        <w:t xml:space="preserve"> </w:t>
      </w:r>
      <w:r w:rsidRPr="007C5E58">
        <w:t>predictive</w:t>
      </w:r>
      <w:r>
        <w:t xml:space="preserve"> </w:t>
      </w:r>
      <w:r w:rsidRPr="007C5E58">
        <w:t>framework</w:t>
      </w:r>
      <w:r>
        <w:t xml:space="preserve"> </w:t>
      </w:r>
      <w:r w:rsidRPr="007C5E58">
        <w:t>that</w:t>
      </w:r>
      <w:r>
        <w:t xml:space="preserve"> </w:t>
      </w:r>
      <w:r w:rsidRPr="007C5E58">
        <w:t>considers</w:t>
      </w:r>
      <w:r>
        <w:t xml:space="preserve"> </w:t>
      </w:r>
      <w:r w:rsidRPr="007C5E58">
        <w:t>supply</w:t>
      </w:r>
      <w:r>
        <w:t xml:space="preserve"> </w:t>
      </w:r>
      <w:r w:rsidRPr="007C5E58">
        <w:t>and</w:t>
      </w:r>
      <w:r>
        <w:t xml:space="preserve"> </w:t>
      </w:r>
      <w:r w:rsidRPr="007C5E58">
        <w:t>demand</w:t>
      </w:r>
      <w:r>
        <w:t xml:space="preserve"> </w:t>
      </w:r>
      <w:r w:rsidRPr="007C5E58">
        <w:t>dynamics</w:t>
      </w:r>
      <w:r>
        <w:t xml:space="preserve"> </w:t>
      </w:r>
      <w:r w:rsidRPr="007C5E58">
        <w:t>as</w:t>
      </w:r>
      <w:r>
        <w:t xml:space="preserve"> </w:t>
      </w:r>
      <w:r w:rsidRPr="007C5E58">
        <w:t>well</w:t>
      </w:r>
      <w:r>
        <w:t xml:space="preserve"> </w:t>
      </w:r>
      <w:r w:rsidRPr="007C5E58">
        <w:t>as</w:t>
      </w:r>
      <w:r>
        <w:t xml:space="preserve"> </w:t>
      </w:r>
      <w:r w:rsidRPr="007C5E58">
        <w:t>broader</w:t>
      </w:r>
      <w:r>
        <w:t xml:space="preserve"> </w:t>
      </w:r>
      <w:r w:rsidRPr="007C5E58">
        <w:t>economic</w:t>
      </w:r>
      <w:r>
        <w:t xml:space="preserve"> </w:t>
      </w:r>
      <w:r w:rsidRPr="007C5E58">
        <w:t>conditions.</w:t>
      </w:r>
    </w:p>
    <w:p w14:paraId="2A0DB8AA" w14:textId="720858E1" w:rsidR="007C5E58" w:rsidRPr="007C5E58" w:rsidRDefault="007C5E58" w:rsidP="007C5E58">
      <w:pPr>
        <w:pStyle w:val="2"/>
        <w:numPr>
          <w:ilvl w:val="1"/>
          <w:numId w:val="9"/>
        </w:numPr>
        <w:ind w:left="420" w:hanging="420"/>
      </w:pPr>
      <w:r w:rsidRPr="007C5E58">
        <w:t>Methodological</w:t>
      </w:r>
      <w:r>
        <w:t xml:space="preserve"> </w:t>
      </w:r>
      <w:r w:rsidRPr="007C5E58">
        <w:t>Rigor</w:t>
      </w:r>
    </w:p>
    <w:p w14:paraId="6B722663" w14:textId="6BCE8A02" w:rsidR="007C5E58" w:rsidRPr="007C5E58" w:rsidRDefault="007C5E58" w:rsidP="007C5E58">
      <w:pPr>
        <w:pStyle w:val="TTPParagraphothers"/>
        <w:ind w:firstLine="284"/>
        <w:rPr>
          <w:noProof/>
        </w:rPr>
      </w:pPr>
      <w:r w:rsidRPr="007C5E58">
        <w:t>The</w:t>
      </w:r>
      <w:r>
        <w:t xml:space="preserve"> </w:t>
      </w:r>
      <w:r w:rsidRPr="007C5E58">
        <w:t>initial</w:t>
      </w:r>
      <w:r>
        <w:t xml:space="preserve"> </w:t>
      </w:r>
      <w:r w:rsidRPr="007C5E58">
        <w:t>step</w:t>
      </w:r>
      <w:r>
        <w:t xml:space="preserve"> </w:t>
      </w:r>
      <w:r w:rsidRPr="007C5E58">
        <w:t>involved</w:t>
      </w:r>
      <w:r>
        <w:t xml:space="preserve"> </w:t>
      </w:r>
      <w:r w:rsidRPr="007C5E58">
        <w:t>applying</w:t>
      </w:r>
      <w:r>
        <w:t xml:space="preserve"> </w:t>
      </w:r>
      <w:r w:rsidRPr="007C5E58">
        <w:t>the</w:t>
      </w:r>
      <w:r>
        <w:t xml:space="preserve"> </w:t>
      </w:r>
      <w:r w:rsidRPr="007C5E58">
        <w:t>Kwiatkowski-Phillips-Schmidt-Shin</w:t>
      </w:r>
      <w:r>
        <w:t xml:space="preserve"> </w:t>
      </w:r>
      <w:r w:rsidRPr="007C5E58">
        <w:t>(KPSS)</w:t>
      </w:r>
      <w:r>
        <w:t xml:space="preserve"> </w:t>
      </w:r>
      <w:r w:rsidRPr="007C5E58">
        <w:t>test</w:t>
      </w:r>
      <w:r>
        <w:t xml:space="preserve"> </w:t>
      </w:r>
      <w:r w:rsidRPr="007C5E58">
        <w:t>to</w:t>
      </w:r>
      <w:r>
        <w:t xml:space="preserve"> </w:t>
      </w:r>
      <w:r w:rsidRPr="007C5E58">
        <w:t>the</w:t>
      </w:r>
      <w:r>
        <w:t xml:space="preserve"> </w:t>
      </w:r>
      <w:r w:rsidRPr="007C5E58">
        <w:t>author’s</w:t>
      </w:r>
      <w:r>
        <w:t xml:space="preserve"> </w:t>
      </w:r>
      <w:r w:rsidRPr="007C5E58">
        <w:t>selected</w:t>
      </w:r>
      <w:r>
        <w:t xml:space="preserve"> </w:t>
      </w:r>
      <w:r w:rsidRPr="007C5E58">
        <w:t>variables,</w:t>
      </w:r>
      <w:r>
        <w:t xml:space="preserve"> </w:t>
      </w:r>
      <w:r w:rsidRPr="007C5E58">
        <w:t>operating</w:t>
      </w:r>
      <w:r>
        <w:t xml:space="preserve"> </w:t>
      </w:r>
      <w:r w:rsidRPr="007C5E58">
        <w:t>under</w:t>
      </w:r>
      <w:r>
        <w:t xml:space="preserve"> </w:t>
      </w:r>
      <w:r w:rsidRPr="007C5E58">
        <w:t>the</w:t>
      </w:r>
      <w:r>
        <w:t xml:space="preserve"> </w:t>
      </w:r>
      <w:r w:rsidRPr="007C5E58">
        <w:t>hypothesis</w:t>
      </w:r>
      <w:r>
        <w:t xml:space="preserve"> </w:t>
      </w:r>
      <w:r w:rsidRPr="007C5E58">
        <w:t>of</w:t>
      </w:r>
      <w:r>
        <w:t xml:space="preserve"> </w:t>
      </w:r>
      <w:r w:rsidRPr="007C5E58">
        <w:t>stability</w:t>
      </w:r>
      <w:r>
        <w:t xml:space="preserve"> </w:t>
      </w:r>
      <w:r w:rsidRPr="007C5E58">
        <w:t>within</w:t>
      </w:r>
      <w:r>
        <w:t xml:space="preserve"> </w:t>
      </w:r>
      <w:r w:rsidRPr="007C5E58">
        <w:t>the</w:t>
      </w:r>
      <w:r>
        <w:t xml:space="preserve"> </w:t>
      </w:r>
      <w:r w:rsidRPr="007C5E58">
        <w:t>dataset.</w:t>
      </w:r>
      <w:r>
        <w:t xml:space="preserve"> </w:t>
      </w:r>
      <w:r w:rsidRPr="007C5E58">
        <w:t>The</w:t>
      </w:r>
      <w:r>
        <w:t xml:space="preserve"> </w:t>
      </w:r>
      <w:r w:rsidRPr="007C5E58">
        <w:t>findings</w:t>
      </w:r>
      <w:r>
        <w:t xml:space="preserve"> </w:t>
      </w:r>
      <w:r w:rsidRPr="007C5E58">
        <w:t>indicated</w:t>
      </w:r>
      <w:r>
        <w:t xml:space="preserve"> </w:t>
      </w:r>
      <w:r w:rsidRPr="007C5E58">
        <w:t>p-values</w:t>
      </w:r>
      <w:r>
        <w:t xml:space="preserve"> </w:t>
      </w:r>
      <w:r w:rsidRPr="007C5E58">
        <w:t>below</w:t>
      </w:r>
      <w:r>
        <w:t xml:space="preserve"> </w:t>
      </w:r>
      <w:r w:rsidRPr="007C5E58">
        <w:t>the</w:t>
      </w:r>
      <w:r>
        <w:t xml:space="preserve"> </w:t>
      </w:r>
      <w:r w:rsidRPr="007C5E58">
        <w:t>5%</w:t>
      </w:r>
      <w:r>
        <w:t xml:space="preserve"> </w:t>
      </w:r>
      <w:r w:rsidRPr="007C5E58">
        <w:t>threshold</w:t>
      </w:r>
      <w:r>
        <w:t xml:space="preserve"> </w:t>
      </w:r>
      <w:r w:rsidRPr="007C5E58">
        <w:t>for</w:t>
      </w:r>
      <w:r>
        <w:t xml:space="preserve"> </w:t>
      </w:r>
      <w:r w:rsidRPr="007C5E58">
        <w:t>both</w:t>
      </w:r>
      <w:r>
        <w:t xml:space="preserve"> </w:t>
      </w:r>
      <w:r w:rsidRPr="007C5E58">
        <w:t>independent</w:t>
      </w:r>
      <w:r>
        <w:t xml:space="preserve"> </w:t>
      </w:r>
      <w:r w:rsidRPr="007C5E58">
        <w:t>and</w:t>
      </w:r>
      <w:r>
        <w:t xml:space="preserve"> </w:t>
      </w:r>
      <w:r w:rsidRPr="007C5E58">
        <w:t>dependent</w:t>
      </w:r>
      <w:r>
        <w:t xml:space="preserve"> </w:t>
      </w:r>
      <w:r w:rsidRPr="007C5E58">
        <w:t>variables,</w:t>
      </w:r>
      <w:r>
        <w:t xml:space="preserve"> </w:t>
      </w:r>
      <w:r w:rsidRPr="007C5E58">
        <w:t>signifying</w:t>
      </w:r>
      <w:r>
        <w:t xml:space="preserve"> </w:t>
      </w:r>
      <w:r w:rsidRPr="007C5E58">
        <w:t>non-stationarity</w:t>
      </w:r>
      <w:r>
        <w:t xml:space="preserve"> </w:t>
      </w:r>
      <w:r w:rsidRPr="007C5E58">
        <w:t>and</w:t>
      </w:r>
      <w:r>
        <w:t xml:space="preserve"> </w:t>
      </w:r>
      <w:r w:rsidRPr="007C5E58">
        <w:t>necessitating</w:t>
      </w:r>
      <w:r>
        <w:t xml:space="preserve"> </w:t>
      </w:r>
      <w:r w:rsidRPr="007C5E58">
        <w:t>further</w:t>
      </w:r>
      <w:r>
        <w:t xml:space="preserve"> </w:t>
      </w:r>
      <w:r w:rsidRPr="007C5E58">
        <w:t>data</w:t>
      </w:r>
      <w:r>
        <w:t xml:space="preserve"> </w:t>
      </w:r>
      <w:r w:rsidRPr="007C5E58">
        <w:t>transformation</w:t>
      </w:r>
      <w:r>
        <w:t xml:space="preserve"> </w:t>
      </w:r>
      <w:r w:rsidRPr="007C5E58">
        <w:t>[9].</w:t>
      </w:r>
      <w:r>
        <w:t xml:space="preserve"> </w:t>
      </w:r>
      <w:r w:rsidRPr="007C5E58">
        <w:t>Logarithmic</w:t>
      </w:r>
      <w:r>
        <w:t xml:space="preserve"> </w:t>
      </w:r>
      <w:r w:rsidRPr="007C5E58">
        <w:t>adjustments</w:t>
      </w:r>
      <w:r>
        <w:t xml:space="preserve"> </w:t>
      </w:r>
      <w:r w:rsidRPr="007C5E58">
        <w:t>followed</w:t>
      </w:r>
      <w:r>
        <w:t xml:space="preserve"> </w:t>
      </w:r>
      <w:r w:rsidRPr="007C5E58">
        <w:t>by</w:t>
      </w:r>
      <w:r>
        <w:t xml:space="preserve"> </w:t>
      </w:r>
      <w:r w:rsidRPr="007C5E58">
        <w:t>differencing</w:t>
      </w:r>
      <w:r>
        <w:t xml:space="preserve"> </w:t>
      </w:r>
      <w:r w:rsidRPr="007C5E58">
        <w:t>were</w:t>
      </w:r>
      <w:r>
        <w:t xml:space="preserve"> </w:t>
      </w:r>
      <w:r w:rsidRPr="007C5E58">
        <w:t>undertaken,</w:t>
      </w:r>
      <w:r>
        <w:t xml:space="preserve"> </w:t>
      </w:r>
      <w:r w:rsidRPr="007C5E58">
        <w:t>which,</w:t>
      </w:r>
      <w:r>
        <w:t xml:space="preserve"> </w:t>
      </w:r>
      <w:r w:rsidRPr="007C5E58">
        <w:t>upon</w:t>
      </w:r>
      <w:r>
        <w:t xml:space="preserve"> </w:t>
      </w:r>
      <w:r w:rsidRPr="007C5E58">
        <w:t>retesting,</w:t>
      </w:r>
      <w:r>
        <w:t xml:space="preserve"> </w:t>
      </w:r>
      <w:r w:rsidRPr="007C5E58">
        <w:t>produced</w:t>
      </w:r>
      <w:r>
        <w:t xml:space="preserve"> </w:t>
      </w:r>
      <w:r w:rsidRPr="007C5E58">
        <w:t>p-values</w:t>
      </w:r>
      <w:r>
        <w:t xml:space="preserve"> </w:t>
      </w:r>
      <w:r w:rsidRPr="007C5E58">
        <w:t>exceeding</w:t>
      </w:r>
      <w:r>
        <w:t xml:space="preserve"> </w:t>
      </w:r>
      <w:r w:rsidRPr="007C5E58">
        <w:t>5%,</w:t>
      </w:r>
      <w:r>
        <w:t xml:space="preserve"> </w:t>
      </w:r>
      <w:r w:rsidRPr="007C5E58">
        <w:t>thus</w:t>
      </w:r>
      <w:r>
        <w:t xml:space="preserve"> </w:t>
      </w:r>
      <w:r w:rsidRPr="007C5E58">
        <w:t>confirming</w:t>
      </w:r>
      <w:r>
        <w:t xml:space="preserve"> </w:t>
      </w:r>
      <w:r w:rsidRPr="007C5E58">
        <w:t>the</w:t>
      </w:r>
      <w:r>
        <w:t xml:space="preserve"> </w:t>
      </w:r>
      <w:r w:rsidRPr="007C5E58">
        <w:t>stabilized</w:t>
      </w:r>
      <w:r>
        <w:t xml:space="preserve"> </w:t>
      </w:r>
      <w:r w:rsidRPr="007C5E58">
        <w:t>condition</w:t>
      </w:r>
      <w:r>
        <w:t xml:space="preserve"> </w:t>
      </w:r>
      <w:r w:rsidRPr="007C5E58">
        <w:t>of</w:t>
      </w:r>
      <w:r>
        <w:t xml:space="preserve"> </w:t>
      </w:r>
      <w:r w:rsidRPr="007C5E58">
        <w:t>the</w:t>
      </w:r>
      <w:r>
        <w:t xml:space="preserve"> </w:t>
      </w:r>
      <w:r w:rsidRPr="007C5E58">
        <w:t>variables</w:t>
      </w:r>
      <w:r>
        <w:t xml:space="preserve"> </w:t>
      </w:r>
      <w:r w:rsidRPr="007C5E58">
        <w:t>for</w:t>
      </w:r>
      <w:r>
        <w:t xml:space="preserve"> </w:t>
      </w:r>
      <w:r w:rsidRPr="007C5E58">
        <w:t>subsequent</w:t>
      </w:r>
      <w:r>
        <w:t xml:space="preserve"> </w:t>
      </w:r>
      <w:r w:rsidRPr="007C5E58">
        <w:t>predictive</w:t>
      </w:r>
      <w:r>
        <w:t xml:space="preserve"> </w:t>
      </w:r>
      <w:r w:rsidRPr="007C5E58">
        <w:t>modeling</w:t>
      </w:r>
      <w:r>
        <w:t xml:space="preserve"> </w:t>
      </w:r>
      <w:r w:rsidRPr="007C5E58">
        <w:t>(Table</w:t>
      </w:r>
      <w:r>
        <w:t xml:space="preserve"> </w:t>
      </w:r>
      <w:r w:rsidRPr="007C5E58">
        <w:t>1).</w:t>
      </w:r>
    </w:p>
    <w:p w14:paraId="54D7CBA1" w14:textId="77777777" w:rsidR="00A12D89" w:rsidRDefault="00A12D89" w:rsidP="007C5E58">
      <w:pPr>
        <w:pStyle w:val="TTPParagraphothers"/>
        <w:spacing w:before="60" w:after="60"/>
        <w:ind w:firstLine="0"/>
        <w:jc w:val="center"/>
        <w:rPr>
          <w:b/>
        </w:rPr>
      </w:pPr>
    </w:p>
    <w:p w14:paraId="5B4D1685" w14:textId="77777777" w:rsidR="00A12D89" w:rsidRDefault="00A12D89" w:rsidP="007C5E58">
      <w:pPr>
        <w:pStyle w:val="TTPParagraphothers"/>
        <w:spacing w:before="60" w:after="60"/>
        <w:ind w:firstLine="0"/>
        <w:jc w:val="center"/>
        <w:rPr>
          <w:b/>
        </w:rPr>
      </w:pPr>
    </w:p>
    <w:p w14:paraId="55B206BD" w14:textId="77777777" w:rsidR="00A12D89" w:rsidRDefault="00A12D89" w:rsidP="007C5E58">
      <w:pPr>
        <w:pStyle w:val="TTPParagraphothers"/>
        <w:spacing w:before="60" w:after="60"/>
        <w:ind w:firstLine="0"/>
        <w:jc w:val="center"/>
        <w:rPr>
          <w:b/>
        </w:rPr>
      </w:pPr>
    </w:p>
    <w:p w14:paraId="4744AD00" w14:textId="77777777" w:rsidR="00A12D89" w:rsidRDefault="00A12D89" w:rsidP="007C5E58">
      <w:pPr>
        <w:pStyle w:val="TTPParagraphothers"/>
        <w:spacing w:before="60" w:after="60"/>
        <w:ind w:firstLine="0"/>
        <w:jc w:val="center"/>
        <w:rPr>
          <w:b/>
        </w:rPr>
      </w:pPr>
    </w:p>
    <w:p w14:paraId="10B1FDB8" w14:textId="29B95D7F" w:rsidR="007C5E58" w:rsidRPr="007C5E58" w:rsidRDefault="007C5E58" w:rsidP="007C5E58">
      <w:pPr>
        <w:pStyle w:val="TTPParagraphothers"/>
        <w:spacing w:before="60" w:after="60"/>
        <w:ind w:firstLine="0"/>
        <w:jc w:val="center"/>
      </w:pPr>
      <w:r w:rsidRPr="007C5E58">
        <w:rPr>
          <w:b/>
        </w:rPr>
        <w:lastRenderedPageBreak/>
        <w:t>Table</w:t>
      </w:r>
      <w:r>
        <w:rPr>
          <w:b/>
        </w:rPr>
        <w:t xml:space="preserve"> </w:t>
      </w:r>
      <w:r w:rsidRPr="007C5E58">
        <w:rPr>
          <w:b/>
        </w:rPr>
        <w:t>1</w:t>
      </w:r>
      <w:r w:rsidRPr="007C5E58">
        <w:rPr>
          <w:b/>
          <w:bCs/>
          <w:lang w:eastAsia="zh-CN"/>
        </w:rPr>
        <w:t>.</w:t>
      </w:r>
      <w:r>
        <w:rPr>
          <w:b/>
          <w:bCs/>
        </w:rPr>
        <w:t xml:space="preserve"> </w:t>
      </w:r>
      <w:r w:rsidRPr="007C5E58">
        <w:t>KPSS</w:t>
      </w:r>
      <w:r>
        <w:t xml:space="preserve"> </w:t>
      </w:r>
      <w:r w:rsidRPr="007C5E58">
        <w:t>test</w:t>
      </w:r>
      <w:r>
        <w:t xml:space="preserve"> </w:t>
      </w:r>
      <w:r w:rsidRPr="007C5E58">
        <w:t>results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7"/>
        <w:gridCol w:w="1697"/>
        <w:gridCol w:w="1975"/>
      </w:tblGrid>
      <w:tr w:rsidR="007C5E58" w:rsidRPr="007C5E58" w14:paraId="1FB1B282" w14:textId="77777777" w:rsidTr="007C5E58">
        <w:trPr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75F274E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KPSS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8739C4D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p-value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63FFBF5" w14:textId="53D76C45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Sig level</w:t>
            </w:r>
          </w:p>
        </w:tc>
      </w:tr>
      <w:tr w:rsidR="007C5E58" w:rsidRPr="007C5E58" w14:paraId="0FCEF63C" w14:textId="77777777" w:rsidTr="007C5E58">
        <w:trPr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F19EA28" w14:textId="03D84FBD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Log Dif of Investment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03904EF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67EF6CD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&gt;0.05</w:t>
            </w:r>
          </w:p>
        </w:tc>
      </w:tr>
      <w:tr w:rsidR="007C5E58" w:rsidRPr="007C5E58" w14:paraId="0899262A" w14:textId="77777777" w:rsidTr="007C5E58">
        <w:trPr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1C91485" w14:textId="4B353CBD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7C5E58">
              <w:rPr>
                <w:sz w:val="22"/>
                <w:szCs w:val="22"/>
                <w:lang w:val="en-US"/>
              </w:rPr>
              <w:t xml:space="preserve">Log </w:t>
            </w:r>
            <w:proofErr w:type="spellStart"/>
            <w:r w:rsidRPr="007C5E58">
              <w:rPr>
                <w:sz w:val="22"/>
                <w:szCs w:val="22"/>
                <w:lang w:val="en-US"/>
              </w:rPr>
              <w:t>Dif</w:t>
            </w:r>
            <w:proofErr w:type="spellEnd"/>
            <w:r w:rsidRPr="007C5E58">
              <w:rPr>
                <w:sz w:val="22"/>
                <w:szCs w:val="22"/>
                <w:lang w:val="en-US"/>
              </w:rPr>
              <w:t xml:space="preserve"> of Steel Production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A24F90C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7732D2F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&gt;0.05</w:t>
            </w:r>
          </w:p>
        </w:tc>
      </w:tr>
      <w:tr w:rsidR="007C5E58" w:rsidRPr="007C5E58" w14:paraId="3A6E50D7" w14:textId="77777777" w:rsidTr="007C5E58">
        <w:trPr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659D4AC" w14:textId="194E4C3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Log Dif of Aluminum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F40CC42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3E8F0E5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&gt;0.05</w:t>
            </w:r>
          </w:p>
        </w:tc>
      </w:tr>
      <w:tr w:rsidR="007C5E58" w:rsidRPr="007C5E58" w14:paraId="5A9A6E0B" w14:textId="77777777" w:rsidTr="007C5E58">
        <w:trPr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520252B" w14:textId="2BFD71AF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Log Dif of Concrete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D3EAD07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880A72E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&gt;0.05</w:t>
            </w:r>
          </w:p>
        </w:tc>
      </w:tr>
      <w:tr w:rsidR="007C5E58" w:rsidRPr="007C5E58" w14:paraId="76B18FD2" w14:textId="77777777" w:rsidTr="007C5E58">
        <w:trPr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17C9022" w14:textId="1A6E41B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Log Dif of M2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2B25705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EC13F99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&gt;0.05</w:t>
            </w:r>
          </w:p>
        </w:tc>
      </w:tr>
      <w:tr w:rsidR="007C5E58" w:rsidRPr="007C5E58" w14:paraId="63ADA6C4" w14:textId="77777777" w:rsidTr="007C5E58">
        <w:trPr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4E750D2" w14:textId="625E56AA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7C5E58">
              <w:rPr>
                <w:sz w:val="22"/>
                <w:szCs w:val="22"/>
                <w:lang w:val="en-US"/>
              </w:rPr>
              <w:t xml:space="preserve">Log </w:t>
            </w:r>
            <w:proofErr w:type="spellStart"/>
            <w:r w:rsidRPr="007C5E58">
              <w:rPr>
                <w:sz w:val="22"/>
                <w:szCs w:val="22"/>
                <w:lang w:val="en-US"/>
              </w:rPr>
              <w:t>Dif</w:t>
            </w:r>
            <w:proofErr w:type="spellEnd"/>
            <w:r w:rsidRPr="007C5E58">
              <w:rPr>
                <w:sz w:val="22"/>
                <w:szCs w:val="22"/>
                <w:lang w:val="en-US"/>
              </w:rPr>
              <w:t xml:space="preserve"> of Housing Sales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9144090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8FD9799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&gt;0.05</w:t>
            </w:r>
          </w:p>
        </w:tc>
      </w:tr>
    </w:tbl>
    <w:p w14:paraId="109ACD55" w14:textId="1B5AD6BE" w:rsidR="007C5E58" w:rsidRPr="007C5E58" w:rsidRDefault="007C5E58" w:rsidP="007C5E58">
      <w:pPr>
        <w:pStyle w:val="1"/>
        <w:numPr>
          <w:ilvl w:val="0"/>
          <w:numId w:val="9"/>
        </w:numPr>
        <w:ind w:left="420" w:hanging="420"/>
      </w:pPr>
      <w:r w:rsidRPr="007C5E58">
        <w:t>Results</w:t>
      </w:r>
      <w:r>
        <w:t xml:space="preserve"> </w:t>
      </w:r>
      <w:r w:rsidRPr="007C5E58">
        <w:t>and</w:t>
      </w:r>
      <w:r>
        <w:t xml:space="preserve"> </w:t>
      </w:r>
      <w:r w:rsidRPr="007C5E58">
        <w:t>Dsiscussion</w:t>
      </w:r>
    </w:p>
    <w:p w14:paraId="1DC3F379" w14:textId="50DBFAE8" w:rsidR="007C5E58" w:rsidRPr="007C5E58" w:rsidRDefault="007C5E58" w:rsidP="007C5E58">
      <w:pPr>
        <w:pStyle w:val="2"/>
        <w:numPr>
          <w:ilvl w:val="1"/>
          <w:numId w:val="9"/>
        </w:numPr>
        <w:ind w:left="420" w:hanging="420"/>
      </w:pPr>
      <w:r w:rsidRPr="007C5E58">
        <w:t>Dynamic</w:t>
      </w:r>
      <w:r>
        <w:t xml:space="preserve"> </w:t>
      </w:r>
      <w:r w:rsidRPr="007C5E58">
        <w:t>Regression</w:t>
      </w:r>
      <w:r>
        <w:t xml:space="preserve"> </w:t>
      </w:r>
      <w:r w:rsidRPr="007C5E58">
        <w:t>Model</w:t>
      </w:r>
    </w:p>
    <w:p w14:paraId="01602847" w14:textId="3808E7DC" w:rsidR="007C5E58" w:rsidRPr="007C5E58" w:rsidRDefault="007C5E58" w:rsidP="007C5E58">
      <w:pPr>
        <w:pStyle w:val="TTPParagraphothers"/>
        <w:ind w:firstLine="284"/>
      </w:pPr>
      <w:r w:rsidRPr="007C5E58">
        <w:t>In</w:t>
      </w:r>
      <w:r>
        <w:t xml:space="preserve"> </w:t>
      </w:r>
      <w:r w:rsidRPr="007C5E58">
        <w:t>constructing</w:t>
      </w:r>
      <w:r>
        <w:t xml:space="preserve"> </w:t>
      </w:r>
      <w:r w:rsidRPr="007C5E58">
        <w:t>the</w:t>
      </w:r>
      <w:r>
        <w:t xml:space="preserve"> </w:t>
      </w:r>
      <w:r w:rsidRPr="007C5E58">
        <w:t>forecasts,</w:t>
      </w:r>
      <w:r>
        <w:t xml:space="preserve"> </w:t>
      </w:r>
      <w:r w:rsidRPr="007C5E58">
        <w:t>the</w:t>
      </w:r>
      <w:r>
        <w:t xml:space="preserve"> </w:t>
      </w:r>
      <w:r w:rsidRPr="007C5E58">
        <w:t>author</w:t>
      </w:r>
      <w:r>
        <w:t xml:space="preserve"> </w:t>
      </w:r>
      <w:r w:rsidRPr="007C5E58">
        <w:t>introduced</w:t>
      </w:r>
      <w:r>
        <w:t xml:space="preserve"> </w:t>
      </w:r>
      <w:r w:rsidRPr="007C5E58">
        <w:t>a</w:t>
      </w:r>
      <w:r>
        <w:t xml:space="preserve"> </w:t>
      </w:r>
      <w:r w:rsidRPr="007C5E58">
        <w:t>dynamic</w:t>
      </w:r>
      <w:r>
        <w:t xml:space="preserve"> </w:t>
      </w:r>
      <w:r w:rsidRPr="007C5E58">
        <w:t>modeling</w:t>
      </w:r>
      <w:r>
        <w:t xml:space="preserve"> </w:t>
      </w:r>
      <w:r w:rsidRPr="007C5E58">
        <w:t>framework</w:t>
      </w:r>
      <w:r>
        <w:t xml:space="preserve"> </w:t>
      </w:r>
      <w:r w:rsidRPr="007C5E58">
        <w:t>capable</w:t>
      </w:r>
      <w:r>
        <w:t xml:space="preserve"> </w:t>
      </w:r>
      <w:r w:rsidRPr="007C5E58">
        <w:t>of</w:t>
      </w:r>
      <w:r>
        <w:t xml:space="preserve"> </w:t>
      </w:r>
      <w:r w:rsidRPr="007C5E58">
        <w:t>incorporating</w:t>
      </w:r>
      <w:r>
        <w:t xml:space="preserve"> </w:t>
      </w:r>
      <w:r w:rsidRPr="007C5E58">
        <w:t>a</w:t>
      </w:r>
      <w:r>
        <w:t xml:space="preserve"> </w:t>
      </w:r>
      <w:r w:rsidRPr="007C5E58">
        <w:t>vast</w:t>
      </w:r>
      <w:r>
        <w:t xml:space="preserve"> </w:t>
      </w:r>
      <w:r w:rsidRPr="007C5E58">
        <w:t>array</w:t>
      </w:r>
      <w:r>
        <w:t xml:space="preserve"> </w:t>
      </w:r>
      <w:r w:rsidRPr="007C5E58">
        <w:t>of</w:t>
      </w:r>
      <w:r>
        <w:t xml:space="preserve"> </w:t>
      </w:r>
      <w:r w:rsidRPr="007C5E58">
        <w:t>influential</w:t>
      </w:r>
      <w:r>
        <w:t xml:space="preserve"> </w:t>
      </w:r>
      <w:r w:rsidRPr="007C5E58">
        <w:t>factors,</w:t>
      </w:r>
      <w:r>
        <w:t xml:space="preserve"> </w:t>
      </w:r>
      <w:r w:rsidRPr="007C5E58">
        <w:t>thereby</w:t>
      </w:r>
      <w:r>
        <w:t xml:space="preserve"> </w:t>
      </w:r>
      <w:r w:rsidRPr="007C5E58">
        <w:t>accommodating</w:t>
      </w:r>
      <w:r>
        <w:t xml:space="preserve"> </w:t>
      </w:r>
      <w:r w:rsidRPr="007C5E58">
        <w:t>the</w:t>
      </w:r>
      <w:r>
        <w:t xml:space="preserve"> </w:t>
      </w:r>
      <w:r w:rsidRPr="007C5E58">
        <w:t>complexities</w:t>
      </w:r>
      <w:r>
        <w:t xml:space="preserve"> </w:t>
      </w:r>
      <w:r w:rsidRPr="007C5E58">
        <w:t>inherent</w:t>
      </w:r>
      <w:r>
        <w:t xml:space="preserve"> </w:t>
      </w:r>
      <w:r w:rsidRPr="007C5E58">
        <w:t>in</w:t>
      </w:r>
      <w:r>
        <w:t xml:space="preserve"> </w:t>
      </w:r>
      <w:r w:rsidRPr="007C5E58">
        <w:t>China's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investment</w:t>
      </w:r>
      <w:r>
        <w:t xml:space="preserve"> </w:t>
      </w:r>
      <w:r w:rsidRPr="007C5E58">
        <w:t>landscape.</w:t>
      </w:r>
      <w:r>
        <w:t xml:space="preserve"> </w:t>
      </w:r>
      <w:r w:rsidRPr="007C5E58">
        <w:t>The</w:t>
      </w:r>
      <w:r>
        <w:t xml:space="preserve"> </w:t>
      </w:r>
      <w:r w:rsidRPr="007C5E58">
        <w:t>inclusion</w:t>
      </w:r>
      <w:r>
        <w:t xml:space="preserve"> </w:t>
      </w:r>
      <w:r w:rsidRPr="007C5E58">
        <w:t>of</w:t>
      </w:r>
      <w:r>
        <w:t xml:space="preserve"> </w:t>
      </w:r>
      <w:r w:rsidRPr="007C5E58">
        <w:t>covariates</w:t>
      </w:r>
      <w:r>
        <w:t xml:space="preserve"> </w:t>
      </w:r>
      <w:r w:rsidRPr="007C5E58">
        <w:t>such</w:t>
      </w:r>
      <w:r>
        <w:t xml:space="preserve"> </w:t>
      </w:r>
      <w:r w:rsidRPr="007C5E58">
        <w:t>as</w:t>
      </w:r>
      <w:r>
        <w:t xml:space="preserve"> </w:t>
      </w:r>
      <w:r w:rsidRPr="007C5E58">
        <w:t>production</w:t>
      </w:r>
      <w:r>
        <w:t xml:space="preserve"> </w:t>
      </w:r>
      <w:r w:rsidRPr="007C5E58">
        <w:t>metrics</w:t>
      </w:r>
      <w:r>
        <w:t xml:space="preserve"> </w:t>
      </w:r>
      <w:r w:rsidRPr="007C5E58">
        <w:t>for</w:t>
      </w:r>
      <w:r>
        <w:t xml:space="preserve"> </w:t>
      </w:r>
      <w:r w:rsidRPr="007C5E58">
        <w:t>concrete,</w:t>
      </w:r>
      <w:r>
        <w:t xml:space="preserve"> </w:t>
      </w:r>
      <w:r w:rsidRPr="007C5E58">
        <w:t>steel,</w:t>
      </w:r>
      <w:r>
        <w:t xml:space="preserve"> </w:t>
      </w:r>
      <w:r w:rsidRPr="007C5E58">
        <w:t>aluminum,</w:t>
      </w:r>
      <w:r>
        <w:t xml:space="preserve"> </w:t>
      </w:r>
      <w:r w:rsidRPr="007C5E58">
        <w:t>coupled</w:t>
      </w:r>
      <w:r>
        <w:t xml:space="preserve"> </w:t>
      </w:r>
      <w:r w:rsidRPr="007C5E58">
        <w:t>with</w:t>
      </w:r>
      <w:r>
        <w:t xml:space="preserve"> </w:t>
      </w:r>
      <w:r w:rsidRPr="007C5E58">
        <w:t>financial</w:t>
      </w:r>
      <w:r>
        <w:t xml:space="preserve"> </w:t>
      </w:r>
      <w:r w:rsidRPr="007C5E58">
        <w:t>indicators</w:t>
      </w:r>
      <w:r>
        <w:t xml:space="preserve"> </w:t>
      </w:r>
      <w:r w:rsidRPr="007C5E58">
        <w:t>like</w:t>
      </w:r>
      <w:r>
        <w:t xml:space="preserve"> </w:t>
      </w:r>
      <w:r w:rsidRPr="007C5E58">
        <w:t>money</w:t>
      </w:r>
      <w:r>
        <w:t xml:space="preserve"> </w:t>
      </w:r>
      <w:r w:rsidRPr="007C5E58">
        <w:t>supply</w:t>
      </w:r>
      <w:r>
        <w:t xml:space="preserve"> </w:t>
      </w:r>
      <w:r w:rsidRPr="007C5E58">
        <w:t>and</w:t>
      </w:r>
      <w:r>
        <w:t xml:space="preserve"> </w:t>
      </w:r>
      <w:r w:rsidRPr="007C5E58">
        <w:t>housing</w:t>
      </w:r>
      <w:r>
        <w:t xml:space="preserve"> </w:t>
      </w:r>
      <w:r w:rsidRPr="007C5E58">
        <w:t>sales,</w:t>
      </w:r>
      <w:r>
        <w:t xml:space="preserve"> </w:t>
      </w:r>
      <w:r w:rsidRPr="007C5E58">
        <w:t>facilitated</w:t>
      </w:r>
      <w:r>
        <w:t xml:space="preserve"> </w:t>
      </w:r>
      <w:r w:rsidRPr="007C5E58">
        <w:t>the</w:t>
      </w:r>
      <w:r>
        <w:t xml:space="preserve"> </w:t>
      </w:r>
      <w:r w:rsidRPr="007C5E58">
        <w:t>creation</w:t>
      </w:r>
      <w:r>
        <w:t xml:space="preserve"> </w:t>
      </w:r>
      <w:r w:rsidRPr="007C5E58">
        <w:t>of</w:t>
      </w:r>
      <w:r>
        <w:t xml:space="preserve"> </w:t>
      </w:r>
      <w:r w:rsidRPr="007C5E58">
        <w:t>a</w:t>
      </w:r>
      <w:r>
        <w:t xml:space="preserve"> </w:t>
      </w:r>
      <w:r w:rsidRPr="007C5E58">
        <w:t>dynamic</w:t>
      </w:r>
      <w:r>
        <w:t xml:space="preserve"> </w:t>
      </w:r>
      <w:r w:rsidRPr="007C5E58">
        <w:t>regression</w:t>
      </w:r>
      <w:r>
        <w:t xml:space="preserve"> </w:t>
      </w:r>
      <w:r w:rsidRPr="007C5E58">
        <w:t>model.</w:t>
      </w:r>
      <w:r>
        <w:t xml:space="preserve"> </w:t>
      </w:r>
      <w:r w:rsidRPr="007C5E58">
        <w:t>This</w:t>
      </w:r>
      <w:r>
        <w:t xml:space="preserve"> </w:t>
      </w:r>
      <w:r w:rsidRPr="007C5E58">
        <w:t>model</w:t>
      </w:r>
      <w:r>
        <w:t xml:space="preserve"> </w:t>
      </w:r>
      <w:r w:rsidRPr="007C5E58">
        <w:t>adeptly</w:t>
      </w:r>
      <w:r>
        <w:t xml:space="preserve"> </w:t>
      </w:r>
      <w:r w:rsidRPr="007C5E58">
        <w:t>encapsulates</w:t>
      </w:r>
      <w:r>
        <w:t xml:space="preserve"> </w:t>
      </w:r>
      <w:r w:rsidRPr="007C5E58">
        <w:t>the</w:t>
      </w:r>
      <w:r>
        <w:t xml:space="preserve"> </w:t>
      </w:r>
      <w:r w:rsidRPr="007C5E58">
        <w:t>intricate</w:t>
      </w:r>
      <w:r>
        <w:t xml:space="preserve"> </w:t>
      </w:r>
      <w:r w:rsidRPr="007C5E58">
        <w:t>economic,</w:t>
      </w:r>
      <w:r>
        <w:t xml:space="preserve"> </w:t>
      </w:r>
      <w:r w:rsidRPr="007C5E58">
        <w:t>financial,</w:t>
      </w:r>
      <w:r>
        <w:t xml:space="preserve"> </w:t>
      </w:r>
      <w:r w:rsidRPr="007C5E58">
        <w:t>and</w:t>
      </w:r>
      <w:r>
        <w:t xml:space="preserve"> </w:t>
      </w:r>
      <w:r w:rsidRPr="007C5E58">
        <w:t>market</w:t>
      </w:r>
      <w:r>
        <w:t xml:space="preserve"> </w:t>
      </w:r>
      <w:r w:rsidRPr="007C5E58">
        <w:t>dynamics</w:t>
      </w:r>
      <w:r>
        <w:t xml:space="preserve"> </w:t>
      </w:r>
      <w:r w:rsidRPr="007C5E58">
        <w:t>at</w:t>
      </w:r>
      <w:r>
        <w:t xml:space="preserve"> </w:t>
      </w:r>
      <w:r w:rsidRPr="007C5E58">
        <w:t>play.</w:t>
      </w:r>
    </w:p>
    <w:p w14:paraId="60F5CB90" w14:textId="7220516C" w:rsidR="007C5E58" w:rsidRDefault="007C5E58" w:rsidP="007C5E58">
      <w:pPr>
        <w:pStyle w:val="TTPParagraphothers"/>
        <w:ind w:firstLine="284"/>
      </w:pPr>
      <w:r w:rsidRPr="007C5E58">
        <w:t>The</w:t>
      </w:r>
      <w:r>
        <w:t xml:space="preserve"> </w:t>
      </w:r>
      <w:r w:rsidRPr="007C5E58">
        <w:t>equation</w:t>
      </w:r>
      <w:r>
        <w:t xml:space="preserve"> </w:t>
      </w:r>
      <w:r w:rsidRPr="007C5E58">
        <w:t>for</w:t>
      </w:r>
      <w:r>
        <w:t xml:space="preserve"> </w:t>
      </w:r>
      <w:r w:rsidRPr="007C5E58">
        <w:t>this</w:t>
      </w:r>
      <w:r>
        <w:t xml:space="preserve"> </w:t>
      </w:r>
      <w:r w:rsidRPr="007C5E58">
        <w:t>dynamic</w:t>
      </w:r>
      <w:r>
        <w:t xml:space="preserve"> </w:t>
      </w:r>
      <w:r w:rsidRPr="007C5E58">
        <w:t>regression</w:t>
      </w:r>
      <w:r>
        <w:t xml:space="preserve"> </w:t>
      </w:r>
      <w:r w:rsidRPr="007C5E58">
        <w:t>with</w:t>
      </w:r>
      <w:r>
        <w:t xml:space="preserve"> </w:t>
      </w:r>
      <w:r w:rsidRPr="007C5E58">
        <w:t>an</w:t>
      </w:r>
      <w:r>
        <w:t xml:space="preserve"> </w:t>
      </w:r>
      <w:r w:rsidRPr="007C5E58">
        <w:t>ARIMA</w:t>
      </w:r>
      <w:r>
        <w:t xml:space="preserve"> </w:t>
      </w:r>
      <w:r w:rsidRPr="007C5E58">
        <w:t>(1,</w:t>
      </w:r>
      <w:r>
        <w:rPr>
          <w:rFonts w:hint="eastAsia"/>
          <w:lang w:eastAsia="zh-CN"/>
        </w:rPr>
        <w:t xml:space="preserve"> </w:t>
      </w:r>
      <w:r w:rsidRPr="007C5E58">
        <w:t>0,</w:t>
      </w:r>
      <w:r>
        <w:rPr>
          <w:rFonts w:hint="eastAsia"/>
          <w:lang w:eastAsia="zh-CN"/>
        </w:rPr>
        <w:t xml:space="preserve"> </w:t>
      </w:r>
      <w:r w:rsidRPr="007C5E58">
        <w:t>0)</w:t>
      </w:r>
      <w:r>
        <w:rPr>
          <w:rFonts w:hint="eastAsia"/>
          <w:lang w:eastAsia="zh-CN"/>
        </w:rPr>
        <w:t xml:space="preserve"> </w:t>
      </w:r>
      <w:r w:rsidRPr="007C5E58">
        <w:t>(1,</w:t>
      </w:r>
      <w:r>
        <w:rPr>
          <w:rFonts w:hint="eastAsia"/>
          <w:lang w:eastAsia="zh-CN"/>
        </w:rPr>
        <w:t xml:space="preserve"> </w:t>
      </w:r>
      <w:r w:rsidRPr="007C5E58">
        <w:t>0,</w:t>
      </w:r>
      <w:r>
        <w:rPr>
          <w:rFonts w:hint="eastAsia"/>
          <w:lang w:eastAsia="zh-CN"/>
        </w:rPr>
        <w:t xml:space="preserve"> </w:t>
      </w:r>
      <w:r w:rsidRPr="007C5E58">
        <w:t>0):</w:t>
      </w:r>
    </w:p>
    <w:p w14:paraId="3B4D43F8" w14:textId="77777777" w:rsidR="007C5E58" w:rsidRPr="007C5E58" w:rsidRDefault="007C5E58" w:rsidP="007C5E58">
      <w:pPr>
        <w:pStyle w:val="TTPParagraphothers"/>
        <w:ind w:firstLine="0"/>
        <w:jc w:val="center"/>
      </w:pPr>
    </w:p>
    <w:p w14:paraId="508F2DC0" w14:textId="10EC8837" w:rsidR="007C5E58" w:rsidRDefault="00E64784" w:rsidP="007C5E58">
      <w:pPr>
        <w:pStyle w:val="TTPParagraphothers"/>
        <w:ind w:firstLine="0"/>
        <w:jc w:val="right"/>
        <w:textAlignment w:val="center"/>
        <w:rPr>
          <w:lang w:eastAsia="zh-CN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1,</m:t>
            </m:r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2,</m:t>
            </m:r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3,</m:t>
            </m:r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b>
            </m:sSub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4,</m:t>
            </m:r>
            <m:r>
              <w:rPr>
                <w:rFonts w:ascii="Cambria Math" w:hAnsi="Cambria Math"/>
              </w:rPr>
              <m:t>t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5,</m:t>
                </m:r>
                <m:r>
                  <w:rPr>
                    <w:rFonts w:ascii="Cambria Math" w:hAnsi="Cambria Math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7C5E58">
        <w:rPr>
          <w:lang w:eastAsia="zh-CN"/>
        </w:rPr>
        <w:t xml:space="preserve">   </w:t>
      </w:r>
      <w:r w:rsidR="00A12D89">
        <w:rPr>
          <w:rFonts w:hint="eastAsia"/>
          <w:lang w:eastAsia="zh-CN"/>
        </w:rPr>
        <w:t xml:space="preserve"> </w:t>
      </w:r>
      <w:r w:rsidR="007C5E58">
        <w:rPr>
          <w:lang w:eastAsia="zh-CN"/>
        </w:rPr>
        <w:t xml:space="preserve">            </w:t>
      </w:r>
      <w:r w:rsidR="007C5E58" w:rsidRPr="007C5E58">
        <w:rPr>
          <w:lang w:eastAsia="zh-CN"/>
        </w:rPr>
        <w:t>(1)</w:t>
      </w:r>
    </w:p>
    <w:p w14:paraId="7DE60BE7" w14:textId="77777777" w:rsidR="007C5E58" w:rsidRPr="007C5E58" w:rsidRDefault="007C5E58" w:rsidP="007C5E58">
      <w:pPr>
        <w:pStyle w:val="TTPParagraphothers"/>
        <w:ind w:firstLine="0"/>
        <w:jc w:val="center"/>
        <w:rPr>
          <w:lang w:eastAsia="zh-CN"/>
        </w:rPr>
      </w:pPr>
    </w:p>
    <w:p w14:paraId="1FDB0D46" w14:textId="1832E4ED" w:rsidR="007C5E58" w:rsidRDefault="00E64784" w:rsidP="007C5E58">
      <w:pPr>
        <w:pStyle w:val="TTPParagraphothers"/>
        <w:ind w:firstLine="0"/>
        <w:jc w:val="right"/>
        <w:textAlignment w:val="center"/>
        <w:rPr>
          <w:lang w:eastAsia="zh-CN"/>
        </w:rPr>
      </w:pP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ε</m:t>
            </m:r>
          </m:e>
          <m:sub>
            <m:r>
              <w:rPr>
                <w:rFonts w:ascii="Cambria Math" w:hAnsi="Cambria Math"/>
                <w:lang w:eastAsia="zh-CN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ε</m:t>
            </m:r>
          </m:e>
          <m:sub>
            <m:r>
              <w:rPr>
                <w:rFonts w:ascii="Cambria Math" w:hAnsi="Cambria Math"/>
                <w:lang w:eastAsia="zh-CN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-1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+</m:t>
        </m:r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ε</m:t>
            </m:r>
          </m:e>
          <m:sub>
            <m:r>
              <w:rPr>
                <w:rFonts w:ascii="Cambria Math" w:hAnsi="Cambria Math"/>
                <w:lang w:eastAsia="zh-CN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-11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+</m:t>
        </m:r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a</m:t>
            </m:r>
          </m:e>
          <m:sub>
            <m:r>
              <w:rPr>
                <w:rFonts w:ascii="Cambria Math" w:hAnsi="Cambria Math"/>
                <w:lang w:eastAsia="zh-CN"/>
              </w:rPr>
              <m:t>t</m:t>
            </m:r>
          </m:sub>
        </m:sSub>
      </m:oMath>
      <w:r w:rsidR="007C5E58">
        <w:rPr>
          <w:lang w:eastAsia="zh-CN"/>
        </w:rPr>
        <w:t xml:space="preserve">                          </w:t>
      </w:r>
      <w:r w:rsidR="007C5E58" w:rsidRPr="007C5E58">
        <w:rPr>
          <w:lang w:eastAsia="zh-CN"/>
        </w:rPr>
        <w:t>(2)</w:t>
      </w:r>
    </w:p>
    <w:p w14:paraId="6E4B0591" w14:textId="77777777" w:rsidR="007C5E58" w:rsidRPr="007C5E58" w:rsidRDefault="007C5E58" w:rsidP="007C5E58">
      <w:pPr>
        <w:pStyle w:val="TTPParagraphothers"/>
        <w:ind w:firstLine="0"/>
        <w:jc w:val="center"/>
        <w:rPr>
          <w:lang w:eastAsia="zh-CN"/>
        </w:rPr>
      </w:pPr>
    </w:p>
    <w:p w14:paraId="3198E6D6" w14:textId="1C121FFB" w:rsidR="007C5E58" w:rsidRPr="007C5E58" w:rsidRDefault="007C5E58" w:rsidP="007C5E58">
      <w:pPr>
        <w:pStyle w:val="TTPParagraphothers"/>
        <w:ind w:firstLine="284"/>
      </w:pPr>
      <w:r w:rsidRPr="007C5E58">
        <w:t>In</w:t>
      </w:r>
      <w:r>
        <w:t xml:space="preserve"> </w:t>
      </w:r>
      <w:r w:rsidRPr="007C5E58">
        <w:t>examining</w:t>
      </w:r>
      <w:r>
        <w:t xml:space="preserve"> </w:t>
      </w:r>
      <w:r w:rsidRPr="007C5E58">
        <w:t>the</w:t>
      </w:r>
      <w:r>
        <w:t xml:space="preserve"> </w:t>
      </w:r>
      <w:r w:rsidRPr="007C5E58">
        <w:t>'</w:t>
      </w:r>
      <w:proofErr w:type="spellStart"/>
      <w:r w:rsidRPr="007C5E58">
        <w:t>lli</w:t>
      </w:r>
      <w:proofErr w:type="spellEnd"/>
      <w:r w:rsidRPr="007C5E58">
        <w:t>'</w:t>
      </w:r>
      <w:r>
        <w:t xml:space="preserve"> </w:t>
      </w:r>
      <w:r w:rsidRPr="007C5E58">
        <w:t>series—presumed</w:t>
      </w:r>
      <w:r>
        <w:t xml:space="preserve"> </w:t>
      </w:r>
      <w:r w:rsidRPr="007C5E58">
        <w:t>to</w:t>
      </w:r>
      <w:r>
        <w:t xml:space="preserve"> </w:t>
      </w:r>
      <w:r w:rsidRPr="007C5E58">
        <w:t>reflect</w:t>
      </w:r>
      <w:r>
        <w:t xml:space="preserve"> </w:t>
      </w:r>
      <w:r w:rsidRPr="007C5E58">
        <w:t>fluctuations</w:t>
      </w:r>
      <w:r>
        <w:t xml:space="preserve"> </w:t>
      </w:r>
      <w:r w:rsidRPr="007C5E58">
        <w:t>in</w:t>
      </w:r>
      <w:r>
        <w:t xml:space="preserve"> </w:t>
      </w:r>
      <w:r w:rsidRPr="007C5E58">
        <w:t>housing</w:t>
      </w:r>
      <w:r>
        <w:t xml:space="preserve"> </w:t>
      </w:r>
      <w:r w:rsidRPr="007C5E58">
        <w:t>investment—through</w:t>
      </w:r>
      <w:r>
        <w:t xml:space="preserve"> </w:t>
      </w:r>
      <w:r w:rsidRPr="007C5E58">
        <w:t>the</w:t>
      </w:r>
      <w:r>
        <w:t xml:space="preserve"> </w:t>
      </w:r>
      <w:r w:rsidRPr="007C5E58">
        <w:t>lens</w:t>
      </w:r>
      <w:r>
        <w:t xml:space="preserve"> </w:t>
      </w:r>
      <w:r w:rsidRPr="007C5E58">
        <w:t>of</w:t>
      </w:r>
      <w:r>
        <w:t xml:space="preserve"> </w:t>
      </w:r>
      <w:r w:rsidRPr="007C5E58">
        <w:t>an</w:t>
      </w:r>
      <w:r>
        <w:t xml:space="preserve"> </w:t>
      </w:r>
      <w:r w:rsidRPr="007C5E58">
        <w:t>ARIMA</w:t>
      </w:r>
      <w:r>
        <w:t xml:space="preserve"> </w:t>
      </w:r>
      <w:r w:rsidRPr="007C5E58">
        <w:t>model,</w:t>
      </w:r>
      <w:r>
        <w:t xml:space="preserve"> </w:t>
      </w:r>
      <w:r w:rsidRPr="007C5E58">
        <w:t>this</w:t>
      </w:r>
      <w:r>
        <w:t xml:space="preserve"> </w:t>
      </w:r>
      <w:r w:rsidRPr="007C5E58">
        <w:t>paper</w:t>
      </w:r>
      <w:r>
        <w:t xml:space="preserve"> </w:t>
      </w:r>
      <w:r w:rsidRPr="007C5E58">
        <w:t>is</w:t>
      </w:r>
      <w:r>
        <w:t xml:space="preserve"> </w:t>
      </w:r>
      <w:r w:rsidRPr="007C5E58">
        <w:t>able</w:t>
      </w:r>
      <w:r>
        <w:t xml:space="preserve"> </w:t>
      </w:r>
      <w:r w:rsidRPr="007C5E58">
        <w:t>to</w:t>
      </w:r>
      <w:r>
        <w:t xml:space="preserve"> </w:t>
      </w:r>
      <w:r w:rsidRPr="007C5E58">
        <w:t>dissect</w:t>
      </w:r>
      <w:r>
        <w:t xml:space="preserve"> </w:t>
      </w:r>
      <w:r w:rsidRPr="007C5E58">
        <w:t>how</w:t>
      </w:r>
      <w:r>
        <w:t xml:space="preserve"> </w:t>
      </w:r>
      <w:r w:rsidRPr="007C5E58">
        <w:t>historical</w:t>
      </w:r>
      <w:r>
        <w:t xml:space="preserve"> </w:t>
      </w:r>
      <w:r w:rsidRPr="007C5E58">
        <w:t>patterns</w:t>
      </w:r>
      <w:r>
        <w:t xml:space="preserve"> </w:t>
      </w:r>
      <w:r w:rsidRPr="007C5E58">
        <w:t>and</w:t>
      </w:r>
      <w:r>
        <w:t xml:space="preserve"> </w:t>
      </w:r>
      <w:r w:rsidRPr="007C5E58">
        <w:t>seasonal</w:t>
      </w:r>
      <w:r>
        <w:t xml:space="preserve"> </w:t>
      </w:r>
      <w:r w:rsidRPr="007C5E58">
        <w:t>trends</w:t>
      </w:r>
      <w:r>
        <w:t xml:space="preserve"> </w:t>
      </w:r>
      <w:r w:rsidRPr="007C5E58">
        <w:t>play</w:t>
      </w:r>
      <w:r>
        <w:t xml:space="preserve"> </w:t>
      </w:r>
      <w:r w:rsidRPr="007C5E58">
        <w:t>into</w:t>
      </w:r>
      <w:r>
        <w:t xml:space="preserve"> </w:t>
      </w:r>
      <w:r w:rsidRPr="007C5E58">
        <w:t>current</w:t>
      </w:r>
      <w:r>
        <w:t xml:space="preserve"> </w:t>
      </w:r>
      <w:r w:rsidRPr="007C5E58">
        <w:t>forecasting.</w:t>
      </w:r>
      <w:r>
        <w:t xml:space="preserve"> </w:t>
      </w:r>
      <w:r w:rsidRPr="007C5E58">
        <w:t>This</w:t>
      </w:r>
      <w:r>
        <w:t xml:space="preserve"> </w:t>
      </w:r>
      <w:r w:rsidRPr="007C5E58">
        <w:t>time-sensitive</w:t>
      </w:r>
      <w:r>
        <w:t xml:space="preserve"> </w:t>
      </w:r>
      <w:r w:rsidRPr="007C5E58">
        <w:t>analysis</w:t>
      </w:r>
      <w:r>
        <w:t xml:space="preserve"> </w:t>
      </w:r>
      <w:r w:rsidRPr="007C5E58">
        <w:t>is</w:t>
      </w:r>
      <w:r>
        <w:t xml:space="preserve"> </w:t>
      </w:r>
      <w:r w:rsidRPr="007C5E58">
        <w:t>crucial</w:t>
      </w:r>
      <w:r>
        <w:t xml:space="preserve"> </w:t>
      </w:r>
      <w:r w:rsidRPr="007C5E58">
        <w:t>in</w:t>
      </w:r>
      <w:r>
        <w:t xml:space="preserve"> </w:t>
      </w:r>
      <w:r w:rsidRPr="007C5E58">
        <w:t>parsing</w:t>
      </w:r>
      <w:r>
        <w:t xml:space="preserve"> </w:t>
      </w:r>
      <w:r w:rsidRPr="007C5E58">
        <w:t>out</w:t>
      </w:r>
      <w:r>
        <w:t xml:space="preserve"> </w:t>
      </w:r>
      <w:r w:rsidRPr="007C5E58">
        <w:t>how</w:t>
      </w:r>
      <w:r>
        <w:t xml:space="preserve"> </w:t>
      </w:r>
      <w:r w:rsidRPr="007C5E58">
        <w:t>past</w:t>
      </w:r>
      <w:r>
        <w:t xml:space="preserve"> </w:t>
      </w:r>
      <w:r w:rsidRPr="007C5E58">
        <w:t>data</w:t>
      </w:r>
      <w:r>
        <w:t xml:space="preserve"> </w:t>
      </w:r>
      <w:r w:rsidRPr="007C5E58">
        <w:t>points</w:t>
      </w:r>
      <w:r>
        <w:t xml:space="preserve"> </w:t>
      </w:r>
      <w:r w:rsidRPr="007C5E58">
        <w:t>inform</w:t>
      </w:r>
      <w:r>
        <w:t xml:space="preserve"> </w:t>
      </w:r>
      <w:r w:rsidRPr="007C5E58">
        <w:t>present</w:t>
      </w:r>
      <w:r>
        <w:t xml:space="preserve"> </w:t>
      </w:r>
      <w:r w:rsidRPr="007C5E58">
        <w:t>expectations,</w:t>
      </w:r>
      <w:r>
        <w:t xml:space="preserve"> </w:t>
      </w:r>
      <w:r w:rsidRPr="007C5E58">
        <w:t>particularly</w:t>
      </w:r>
      <w:r>
        <w:t xml:space="preserve"> </w:t>
      </w:r>
      <w:r w:rsidRPr="007C5E58">
        <w:t>in</w:t>
      </w:r>
      <w:r>
        <w:t xml:space="preserve"> </w:t>
      </w:r>
      <w:r w:rsidRPr="007C5E58">
        <w:t>a</w:t>
      </w:r>
      <w:r>
        <w:t xml:space="preserve"> </w:t>
      </w:r>
      <w:r w:rsidRPr="007C5E58">
        <w:t>market</w:t>
      </w:r>
      <w:r>
        <w:t xml:space="preserve"> </w:t>
      </w:r>
      <w:r w:rsidRPr="007C5E58">
        <w:t>as</w:t>
      </w:r>
      <w:r>
        <w:t xml:space="preserve"> </w:t>
      </w:r>
      <w:r w:rsidRPr="007C5E58">
        <w:t>dynamic</w:t>
      </w:r>
      <w:r>
        <w:t xml:space="preserve"> </w:t>
      </w:r>
      <w:r w:rsidRPr="007C5E58">
        <w:t>as</w:t>
      </w:r>
      <w:r>
        <w:t xml:space="preserve"> </w:t>
      </w:r>
      <w:r w:rsidRPr="007C5E58">
        <w:t>real</w:t>
      </w:r>
      <w:r>
        <w:t xml:space="preserve"> </w:t>
      </w:r>
      <w:r w:rsidRPr="007C5E58">
        <w:t>estate.</w:t>
      </w:r>
    </w:p>
    <w:p w14:paraId="51DC6041" w14:textId="5519322E" w:rsidR="007C5E58" w:rsidRPr="007C5E58" w:rsidRDefault="007C5E58" w:rsidP="007C5E58">
      <w:pPr>
        <w:pStyle w:val="TTPParagraphothers"/>
        <w:ind w:firstLine="284"/>
      </w:pPr>
      <w:r w:rsidRPr="007C5E58">
        <w:t>To</w:t>
      </w:r>
      <w:r>
        <w:t xml:space="preserve"> </w:t>
      </w:r>
      <w:r w:rsidRPr="007C5E58">
        <w:t>validate</w:t>
      </w:r>
      <w:r>
        <w:t xml:space="preserve"> </w:t>
      </w:r>
      <w:r w:rsidRPr="007C5E58">
        <w:t>the</w:t>
      </w:r>
      <w:r>
        <w:t xml:space="preserve"> </w:t>
      </w:r>
      <w:r w:rsidRPr="007C5E58">
        <w:t>efficacy</w:t>
      </w:r>
      <w:r>
        <w:t xml:space="preserve"> </w:t>
      </w:r>
      <w:r w:rsidRPr="007C5E58">
        <w:t>of</w:t>
      </w:r>
      <w:r>
        <w:t xml:space="preserve"> </w:t>
      </w:r>
      <w:r w:rsidRPr="007C5E58">
        <w:t>this</w:t>
      </w:r>
      <w:r>
        <w:t xml:space="preserve"> </w:t>
      </w:r>
      <w:r w:rsidRPr="007C5E58">
        <w:t>model,</w:t>
      </w:r>
      <w:r>
        <w:t xml:space="preserve"> </w:t>
      </w:r>
      <w:r w:rsidRPr="007C5E58">
        <w:t>the</w:t>
      </w:r>
      <w:r>
        <w:t xml:space="preserve"> </w:t>
      </w:r>
      <w:r w:rsidRPr="007C5E58">
        <w:t>Ljung-Box</w:t>
      </w:r>
      <w:r>
        <w:t xml:space="preserve"> </w:t>
      </w:r>
      <w:r w:rsidRPr="007C5E58">
        <w:t>test</w:t>
      </w:r>
      <w:r>
        <w:t xml:space="preserve"> </w:t>
      </w:r>
      <w:r w:rsidRPr="007C5E58">
        <w:t>has</w:t>
      </w:r>
      <w:r>
        <w:t xml:space="preserve"> </w:t>
      </w:r>
      <w:r w:rsidRPr="007C5E58">
        <w:t>been</w:t>
      </w:r>
      <w:r>
        <w:t xml:space="preserve"> </w:t>
      </w:r>
      <w:r w:rsidRPr="007C5E58">
        <w:t>employed</w:t>
      </w:r>
      <w:r>
        <w:t xml:space="preserve"> </w:t>
      </w:r>
      <w:r w:rsidRPr="007C5E58">
        <w:t>on</w:t>
      </w:r>
      <w:r>
        <w:t xml:space="preserve"> </w:t>
      </w:r>
      <w:r w:rsidRPr="007C5E58">
        <w:t>the</w:t>
      </w:r>
      <w:r>
        <w:t xml:space="preserve"> </w:t>
      </w:r>
      <w:r w:rsidRPr="007C5E58">
        <w:t>model's</w:t>
      </w:r>
      <w:r>
        <w:t xml:space="preserve"> </w:t>
      </w:r>
      <w:r w:rsidRPr="007C5E58">
        <w:t>residuals,</w:t>
      </w:r>
      <w:r>
        <w:t xml:space="preserve"> </w:t>
      </w:r>
      <w:r w:rsidRPr="007C5E58">
        <w:t>which</w:t>
      </w:r>
      <w:r>
        <w:t xml:space="preserve"> </w:t>
      </w:r>
      <w:r w:rsidRPr="007C5E58">
        <w:t>are</w:t>
      </w:r>
      <w:r>
        <w:t xml:space="preserve"> </w:t>
      </w:r>
      <w:r w:rsidRPr="007C5E58">
        <w:t>essentially</w:t>
      </w:r>
      <w:r>
        <w:t xml:space="preserve"> </w:t>
      </w:r>
      <w:r w:rsidRPr="007C5E58">
        <w:t>the</w:t>
      </w:r>
      <w:r>
        <w:t xml:space="preserve"> </w:t>
      </w:r>
      <w:r w:rsidRPr="007C5E58">
        <w:t>deviations</w:t>
      </w:r>
      <w:r>
        <w:t xml:space="preserve"> </w:t>
      </w:r>
      <w:r w:rsidRPr="007C5E58">
        <w:t>between</w:t>
      </w:r>
      <w:r>
        <w:t xml:space="preserve"> </w:t>
      </w:r>
      <w:r w:rsidRPr="007C5E58">
        <w:t>the</w:t>
      </w:r>
      <w:r>
        <w:t xml:space="preserve"> </w:t>
      </w:r>
      <w:r w:rsidRPr="007C5E58">
        <w:t>actual</w:t>
      </w:r>
      <w:r>
        <w:t xml:space="preserve"> </w:t>
      </w:r>
      <w:r w:rsidRPr="007C5E58">
        <w:t>data</w:t>
      </w:r>
      <w:r>
        <w:t xml:space="preserve"> </w:t>
      </w:r>
      <w:r w:rsidRPr="007C5E58">
        <w:t>and</w:t>
      </w:r>
      <w:r>
        <w:t xml:space="preserve"> </w:t>
      </w:r>
      <w:r w:rsidRPr="007C5E58">
        <w:t>the</w:t>
      </w:r>
      <w:r>
        <w:t xml:space="preserve"> </w:t>
      </w:r>
      <w:r w:rsidRPr="007C5E58">
        <w:t>model's</w:t>
      </w:r>
      <w:r>
        <w:t xml:space="preserve"> </w:t>
      </w:r>
      <w:r w:rsidRPr="007C5E58">
        <w:t>forecasts.</w:t>
      </w:r>
      <w:r>
        <w:t xml:space="preserve"> </w:t>
      </w:r>
      <w:r w:rsidRPr="007C5E58">
        <w:t>This</w:t>
      </w:r>
      <w:r>
        <w:t xml:space="preserve"> </w:t>
      </w:r>
      <w:r w:rsidRPr="007C5E58">
        <w:t>test</w:t>
      </w:r>
      <w:r>
        <w:t xml:space="preserve"> </w:t>
      </w:r>
      <w:r w:rsidRPr="007C5E58">
        <w:t>is</w:t>
      </w:r>
      <w:r>
        <w:t xml:space="preserve"> </w:t>
      </w:r>
      <w:r w:rsidRPr="007C5E58">
        <w:t>a</w:t>
      </w:r>
      <w:r>
        <w:t xml:space="preserve"> </w:t>
      </w:r>
      <w:r w:rsidRPr="007C5E58">
        <w:t>measure</w:t>
      </w:r>
      <w:r>
        <w:t xml:space="preserve"> </w:t>
      </w:r>
      <w:r w:rsidRPr="007C5E58">
        <w:t>of</w:t>
      </w:r>
      <w:r>
        <w:t xml:space="preserve"> </w:t>
      </w:r>
      <w:r w:rsidRPr="007C5E58">
        <w:t>randomness,</w:t>
      </w:r>
      <w:r>
        <w:t xml:space="preserve"> </w:t>
      </w:r>
      <w:r w:rsidRPr="007C5E58">
        <w:t>checking</w:t>
      </w:r>
      <w:r>
        <w:t xml:space="preserve"> </w:t>
      </w:r>
      <w:r w:rsidRPr="007C5E58">
        <w:t>for</w:t>
      </w:r>
      <w:r>
        <w:t xml:space="preserve"> </w:t>
      </w:r>
      <w:r w:rsidRPr="007C5E58">
        <w:t>leftover</w:t>
      </w:r>
      <w:r>
        <w:t xml:space="preserve"> </w:t>
      </w:r>
      <w:r w:rsidRPr="007C5E58">
        <w:t>patterns</w:t>
      </w:r>
      <w:r>
        <w:t xml:space="preserve"> </w:t>
      </w:r>
      <w:r w:rsidRPr="007C5E58">
        <w:t>that</w:t>
      </w:r>
      <w:r>
        <w:t xml:space="preserve"> </w:t>
      </w:r>
      <w:r w:rsidRPr="007C5E58">
        <w:t>the</w:t>
      </w:r>
      <w:r>
        <w:t xml:space="preserve"> </w:t>
      </w:r>
      <w:r w:rsidRPr="007C5E58">
        <w:t>model</w:t>
      </w:r>
      <w:r>
        <w:t xml:space="preserve"> </w:t>
      </w:r>
      <w:r w:rsidRPr="007C5E58">
        <w:t>may</w:t>
      </w:r>
      <w:r>
        <w:t xml:space="preserve"> </w:t>
      </w:r>
      <w:r w:rsidRPr="007C5E58">
        <w:t>have</w:t>
      </w:r>
      <w:r>
        <w:t xml:space="preserve"> </w:t>
      </w:r>
      <w:r w:rsidRPr="007C5E58">
        <w:t>missed.</w:t>
      </w:r>
      <w:r>
        <w:t xml:space="preserve"> </w:t>
      </w:r>
      <w:r w:rsidRPr="007C5E58">
        <w:t>A</w:t>
      </w:r>
      <w:r>
        <w:t xml:space="preserve"> </w:t>
      </w:r>
      <w:r w:rsidRPr="007C5E58">
        <w:t>statistic</w:t>
      </w:r>
      <w:r>
        <w:t xml:space="preserve"> </w:t>
      </w:r>
      <w:r w:rsidRPr="007C5E58">
        <w:t>of</w:t>
      </w:r>
      <w:r>
        <w:t xml:space="preserve"> </w:t>
      </w:r>
      <w:r w:rsidRPr="007C5E58">
        <w:t>21.032</w:t>
      </w:r>
      <w:r>
        <w:t xml:space="preserve"> </w:t>
      </w:r>
      <w:r w:rsidRPr="007C5E58">
        <w:t>and</w:t>
      </w:r>
      <w:r>
        <w:t xml:space="preserve"> </w:t>
      </w:r>
      <w:r w:rsidRPr="007C5E58">
        <w:t>a</w:t>
      </w:r>
      <w:r>
        <w:t xml:space="preserve"> </w:t>
      </w:r>
      <w:r w:rsidRPr="007C5E58">
        <w:t>p-value</w:t>
      </w:r>
      <w:r>
        <w:t xml:space="preserve"> </w:t>
      </w:r>
      <w:r w:rsidRPr="007C5E58">
        <w:t>of</w:t>
      </w:r>
      <w:r>
        <w:t xml:space="preserve"> </w:t>
      </w:r>
      <w:r w:rsidRPr="007C5E58">
        <w:t>0.3952</w:t>
      </w:r>
      <w:r>
        <w:t xml:space="preserve"> </w:t>
      </w:r>
      <w:r w:rsidRPr="007C5E58">
        <w:t>from</w:t>
      </w:r>
      <w:r>
        <w:t xml:space="preserve"> </w:t>
      </w:r>
      <w:r w:rsidRPr="007C5E58">
        <w:t>the</w:t>
      </w:r>
      <w:r>
        <w:t xml:space="preserve"> </w:t>
      </w:r>
      <w:r w:rsidRPr="007C5E58">
        <w:t>test</w:t>
      </w:r>
      <w:r>
        <w:t xml:space="preserve"> </w:t>
      </w:r>
      <w:r w:rsidRPr="007C5E58">
        <w:t>bring</w:t>
      </w:r>
      <w:r>
        <w:t xml:space="preserve"> </w:t>
      </w:r>
      <w:r w:rsidRPr="007C5E58">
        <w:t>reassuring</w:t>
      </w:r>
      <w:r>
        <w:t xml:space="preserve"> </w:t>
      </w:r>
      <w:r w:rsidRPr="007C5E58">
        <w:t>news:</w:t>
      </w:r>
      <w:r>
        <w:t xml:space="preserve"> </w:t>
      </w:r>
      <w:r w:rsidRPr="007C5E58">
        <w:t>there's</w:t>
      </w:r>
      <w:r>
        <w:t xml:space="preserve"> </w:t>
      </w:r>
      <w:r w:rsidRPr="007C5E58">
        <w:t>no</w:t>
      </w:r>
      <w:r>
        <w:t xml:space="preserve"> </w:t>
      </w:r>
      <w:r w:rsidRPr="007C5E58">
        <w:t>significant</w:t>
      </w:r>
      <w:r>
        <w:t xml:space="preserve"> </w:t>
      </w:r>
      <w:r w:rsidRPr="007C5E58">
        <w:t>sign</w:t>
      </w:r>
      <w:r>
        <w:t xml:space="preserve"> </w:t>
      </w:r>
      <w:r w:rsidRPr="007C5E58">
        <w:t>of</w:t>
      </w:r>
      <w:r>
        <w:t xml:space="preserve"> </w:t>
      </w:r>
      <w:r w:rsidRPr="007C5E58">
        <w:t>autocorrelation,</w:t>
      </w:r>
      <w:r>
        <w:t xml:space="preserve"> </w:t>
      </w:r>
      <w:r w:rsidRPr="007C5E58">
        <w:t>meaning</w:t>
      </w:r>
      <w:r>
        <w:t xml:space="preserve"> </w:t>
      </w:r>
      <w:r w:rsidRPr="007C5E58">
        <w:t>the</w:t>
      </w:r>
      <w:r>
        <w:t xml:space="preserve"> </w:t>
      </w:r>
      <w:r w:rsidRPr="007C5E58">
        <w:t>residuals</w:t>
      </w:r>
      <w:r>
        <w:t xml:space="preserve"> </w:t>
      </w:r>
      <w:r w:rsidRPr="007C5E58">
        <w:t>don't</w:t>
      </w:r>
      <w:r>
        <w:t xml:space="preserve"> </w:t>
      </w:r>
      <w:r w:rsidRPr="007C5E58">
        <w:t>exhibit</w:t>
      </w:r>
      <w:r>
        <w:t xml:space="preserve"> </w:t>
      </w:r>
      <w:r w:rsidRPr="007C5E58">
        <w:t>any</w:t>
      </w:r>
      <w:r>
        <w:t xml:space="preserve"> </w:t>
      </w:r>
      <w:r w:rsidRPr="007C5E58">
        <w:t>discernible</w:t>
      </w:r>
      <w:r>
        <w:t xml:space="preserve"> </w:t>
      </w:r>
      <w:r w:rsidRPr="007C5E58">
        <w:t>patterns</w:t>
      </w:r>
      <w:r>
        <w:t xml:space="preserve"> </w:t>
      </w:r>
      <w:r w:rsidRPr="007C5E58">
        <w:t>across</w:t>
      </w:r>
      <w:r>
        <w:t xml:space="preserve"> </w:t>
      </w:r>
      <w:r w:rsidRPr="007C5E58">
        <w:t>22</w:t>
      </w:r>
      <w:r>
        <w:t xml:space="preserve"> </w:t>
      </w:r>
      <w:r w:rsidRPr="007C5E58">
        <w:t>lags.</w:t>
      </w:r>
      <w:r>
        <w:t xml:space="preserve"> </w:t>
      </w:r>
      <w:r w:rsidRPr="007C5E58">
        <w:t>In</w:t>
      </w:r>
      <w:r>
        <w:t xml:space="preserve"> </w:t>
      </w:r>
      <w:r w:rsidRPr="007C5E58">
        <w:t>layman's</w:t>
      </w:r>
      <w:r>
        <w:t xml:space="preserve"> </w:t>
      </w:r>
      <w:r w:rsidRPr="007C5E58">
        <w:t>terms,</w:t>
      </w:r>
      <w:r>
        <w:t xml:space="preserve"> </w:t>
      </w:r>
      <w:r w:rsidRPr="007C5E58">
        <w:t>the</w:t>
      </w:r>
      <w:r>
        <w:t xml:space="preserve"> </w:t>
      </w:r>
      <w:r w:rsidRPr="007C5E58">
        <w:t>model</w:t>
      </w:r>
      <w:r>
        <w:t xml:space="preserve"> </w:t>
      </w:r>
      <w:r w:rsidRPr="007C5E58">
        <w:t>is</w:t>
      </w:r>
      <w:r>
        <w:t xml:space="preserve"> </w:t>
      </w:r>
      <w:r w:rsidRPr="007C5E58">
        <w:t>doing</w:t>
      </w:r>
      <w:r>
        <w:t xml:space="preserve"> </w:t>
      </w:r>
      <w:r w:rsidRPr="007C5E58">
        <w:t>a</w:t>
      </w:r>
      <w:r>
        <w:t xml:space="preserve"> </w:t>
      </w:r>
      <w:r w:rsidRPr="007C5E58">
        <w:t>good</w:t>
      </w:r>
      <w:r>
        <w:t xml:space="preserve"> </w:t>
      </w:r>
      <w:r w:rsidRPr="007C5E58">
        <w:t>job;</w:t>
      </w:r>
      <w:r>
        <w:t xml:space="preserve"> </w:t>
      </w:r>
      <w:r w:rsidRPr="007C5E58">
        <w:t>the</w:t>
      </w:r>
      <w:r>
        <w:t xml:space="preserve"> </w:t>
      </w:r>
      <w:r w:rsidRPr="007C5E58">
        <w:t>forecasts</w:t>
      </w:r>
      <w:r>
        <w:t xml:space="preserve"> </w:t>
      </w:r>
      <w:r w:rsidRPr="007C5E58">
        <w:t>it</w:t>
      </w:r>
      <w:r>
        <w:t xml:space="preserve"> </w:t>
      </w:r>
      <w:r w:rsidRPr="007C5E58">
        <w:t>generates</w:t>
      </w:r>
      <w:r>
        <w:t xml:space="preserve"> </w:t>
      </w:r>
      <w:r w:rsidRPr="007C5E58">
        <w:t>aren't</w:t>
      </w:r>
      <w:r>
        <w:t xml:space="preserve"> </w:t>
      </w:r>
      <w:r w:rsidRPr="007C5E58">
        <w:t>systematically</w:t>
      </w:r>
      <w:r>
        <w:t xml:space="preserve"> </w:t>
      </w:r>
      <w:r w:rsidRPr="007C5E58">
        <w:t>off</w:t>
      </w:r>
      <w:r>
        <w:t xml:space="preserve"> </w:t>
      </w:r>
      <w:r w:rsidRPr="007C5E58">
        <w:t>the</w:t>
      </w:r>
      <w:r>
        <w:t xml:space="preserve"> </w:t>
      </w:r>
      <w:r w:rsidRPr="007C5E58">
        <w:t>mark,</w:t>
      </w:r>
      <w:r>
        <w:t xml:space="preserve"> </w:t>
      </w:r>
      <w:r w:rsidRPr="007C5E58">
        <w:t>and</w:t>
      </w:r>
      <w:r>
        <w:t xml:space="preserve"> </w:t>
      </w:r>
      <w:r w:rsidRPr="007C5E58">
        <w:t>any</w:t>
      </w:r>
      <w:r>
        <w:t xml:space="preserve"> </w:t>
      </w:r>
      <w:r w:rsidRPr="007C5E58">
        <w:t>errors</w:t>
      </w:r>
      <w:r>
        <w:t xml:space="preserve"> </w:t>
      </w:r>
      <w:r w:rsidRPr="007C5E58">
        <w:t>don't</w:t>
      </w:r>
      <w:r>
        <w:t xml:space="preserve"> </w:t>
      </w:r>
      <w:r w:rsidRPr="007C5E58">
        <w:t>seem</w:t>
      </w:r>
      <w:r>
        <w:t xml:space="preserve"> </w:t>
      </w:r>
      <w:r w:rsidRPr="007C5E58">
        <w:t>to</w:t>
      </w:r>
      <w:r>
        <w:t xml:space="preserve"> </w:t>
      </w:r>
      <w:r w:rsidRPr="007C5E58">
        <w:t>follow</w:t>
      </w:r>
      <w:r>
        <w:t xml:space="preserve"> </w:t>
      </w:r>
      <w:r w:rsidRPr="007C5E58">
        <w:t>a</w:t>
      </w:r>
      <w:r>
        <w:t xml:space="preserve"> </w:t>
      </w:r>
      <w:r w:rsidRPr="007C5E58">
        <w:t>predictable</w:t>
      </w:r>
      <w:r>
        <w:t xml:space="preserve"> </w:t>
      </w:r>
      <w:r w:rsidRPr="007C5E58">
        <w:t>path</w:t>
      </w:r>
      <w:r>
        <w:t xml:space="preserve"> </w:t>
      </w:r>
      <w:r w:rsidRPr="007C5E58">
        <w:t>that</w:t>
      </w:r>
      <w:r>
        <w:t xml:space="preserve"> </w:t>
      </w:r>
      <w:r w:rsidRPr="007C5E58">
        <w:t>the</w:t>
      </w:r>
      <w:r>
        <w:t xml:space="preserve"> </w:t>
      </w:r>
      <w:r w:rsidRPr="007C5E58">
        <w:t>model</w:t>
      </w:r>
      <w:r>
        <w:t xml:space="preserve"> </w:t>
      </w:r>
      <w:r w:rsidRPr="007C5E58">
        <w:t>is</w:t>
      </w:r>
      <w:r>
        <w:t xml:space="preserve"> </w:t>
      </w:r>
      <w:r w:rsidRPr="007C5E58">
        <w:t>consistently</w:t>
      </w:r>
      <w:r>
        <w:t xml:space="preserve"> </w:t>
      </w:r>
      <w:r w:rsidRPr="007C5E58">
        <w:t>missing</w:t>
      </w:r>
      <w:r>
        <w:t xml:space="preserve"> </w:t>
      </w:r>
      <w:r w:rsidRPr="007C5E58">
        <w:t>(Figure</w:t>
      </w:r>
      <w:r>
        <w:t xml:space="preserve"> </w:t>
      </w:r>
      <w:r w:rsidRPr="007C5E58">
        <w:t>1).</w:t>
      </w:r>
    </w:p>
    <w:p w14:paraId="0E658684" w14:textId="780F7824" w:rsidR="007C5E58" w:rsidRPr="007C5E58" w:rsidRDefault="007C5E58" w:rsidP="007C5E58">
      <w:pPr>
        <w:pStyle w:val="TTPParagraphothers"/>
        <w:ind w:firstLine="284"/>
      </w:pPr>
      <w:r w:rsidRPr="007C5E58">
        <w:t>A</w:t>
      </w:r>
      <w:r>
        <w:t xml:space="preserve"> </w:t>
      </w:r>
      <w:r w:rsidRPr="007C5E58">
        <w:t>p-value</w:t>
      </w:r>
      <w:r>
        <w:t xml:space="preserve"> </w:t>
      </w:r>
      <w:r w:rsidRPr="007C5E58">
        <w:t>that's</w:t>
      </w:r>
      <w:r>
        <w:t xml:space="preserve"> </w:t>
      </w:r>
      <w:r w:rsidRPr="007C5E58">
        <w:t>lower</w:t>
      </w:r>
      <w:r>
        <w:t xml:space="preserve"> </w:t>
      </w:r>
      <w:r w:rsidRPr="007C5E58">
        <w:t>than</w:t>
      </w:r>
      <w:r>
        <w:t xml:space="preserve"> </w:t>
      </w:r>
      <w:r w:rsidRPr="007C5E58">
        <w:t>the</w:t>
      </w:r>
      <w:r>
        <w:t xml:space="preserve"> </w:t>
      </w:r>
      <w:r w:rsidRPr="007C5E58">
        <w:t>usual</w:t>
      </w:r>
      <w:r>
        <w:t xml:space="preserve"> </w:t>
      </w:r>
      <w:r w:rsidRPr="007C5E58">
        <w:t>0.05</w:t>
      </w:r>
      <w:r>
        <w:t xml:space="preserve"> </w:t>
      </w:r>
      <w:r w:rsidRPr="007C5E58">
        <w:t>cut-off</w:t>
      </w:r>
      <w:r>
        <w:t xml:space="preserve"> </w:t>
      </w:r>
      <w:r w:rsidRPr="007C5E58">
        <w:t>would</w:t>
      </w:r>
      <w:r>
        <w:t xml:space="preserve"> </w:t>
      </w:r>
      <w:r w:rsidRPr="007C5E58">
        <w:t>normally</w:t>
      </w:r>
      <w:r>
        <w:t xml:space="preserve"> </w:t>
      </w:r>
      <w:r w:rsidRPr="007C5E58">
        <w:t>be</w:t>
      </w:r>
      <w:r>
        <w:t xml:space="preserve"> </w:t>
      </w:r>
      <w:r w:rsidRPr="007C5E58">
        <w:t>cause</w:t>
      </w:r>
      <w:r>
        <w:t xml:space="preserve"> </w:t>
      </w:r>
      <w:r w:rsidRPr="007C5E58">
        <w:t>for</w:t>
      </w:r>
      <w:r>
        <w:t xml:space="preserve"> </w:t>
      </w:r>
      <w:r w:rsidRPr="007C5E58">
        <w:t>concern,</w:t>
      </w:r>
      <w:r>
        <w:t xml:space="preserve"> </w:t>
      </w:r>
      <w:r w:rsidRPr="007C5E58">
        <w:t>indicating</w:t>
      </w:r>
      <w:r>
        <w:t xml:space="preserve"> </w:t>
      </w:r>
      <w:r w:rsidRPr="007C5E58">
        <w:t>that</w:t>
      </w:r>
      <w:r>
        <w:t xml:space="preserve"> </w:t>
      </w:r>
      <w:r w:rsidRPr="007C5E58">
        <w:t>the</w:t>
      </w:r>
      <w:r>
        <w:t xml:space="preserve"> </w:t>
      </w:r>
      <w:r w:rsidRPr="007C5E58">
        <w:t>model's</w:t>
      </w:r>
      <w:r>
        <w:t xml:space="preserve"> </w:t>
      </w:r>
      <w:r w:rsidRPr="007C5E58">
        <w:t>residuals</w:t>
      </w:r>
      <w:r>
        <w:t xml:space="preserve"> </w:t>
      </w:r>
      <w:r w:rsidRPr="007C5E58">
        <w:t>have</w:t>
      </w:r>
      <w:r>
        <w:t xml:space="preserve"> </w:t>
      </w:r>
      <w:r w:rsidRPr="007C5E58">
        <w:t>some</w:t>
      </w:r>
      <w:r>
        <w:t xml:space="preserve"> </w:t>
      </w:r>
      <w:r w:rsidRPr="007C5E58">
        <w:t>degree</w:t>
      </w:r>
      <w:r>
        <w:t xml:space="preserve"> </w:t>
      </w:r>
      <w:r w:rsidRPr="007C5E58">
        <w:t>of</w:t>
      </w:r>
      <w:r>
        <w:t xml:space="preserve"> </w:t>
      </w:r>
      <w:r w:rsidRPr="007C5E58">
        <w:t>autocorrelation</w:t>
      </w:r>
      <w:r>
        <w:t xml:space="preserve"> </w:t>
      </w:r>
      <w:r w:rsidRPr="007C5E58">
        <w:t>and</w:t>
      </w:r>
      <w:r>
        <w:t xml:space="preserve"> </w:t>
      </w:r>
      <w:r w:rsidRPr="007C5E58">
        <w:t>thus,</w:t>
      </w:r>
      <w:r>
        <w:t xml:space="preserve"> </w:t>
      </w:r>
      <w:r w:rsidRPr="007C5E58">
        <w:t>the</w:t>
      </w:r>
      <w:r>
        <w:t xml:space="preserve"> </w:t>
      </w:r>
      <w:r w:rsidRPr="007C5E58">
        <w:t>model</w:t>
      </w:r>
      <w:r>
        <w:t xml:space="preserve"> </w:t>
      </w:r>
      <w:r w:rsidRPr="007C5E58">
        <w:t>isn't</w:t>
      </w:r>
      <w:r>
        <w:t xml:space="preserve"> </w:t>
      </w:r>
      <w:r w:rsidRPr="007C5E58">
        <w:t>fully</w:t>
      </w:r>
      <w:r>
        <w:t xml:space="preserve"> </w:t>
      </w:r>
      <w:r w:rsidRPr="007C5E58">
        <w:t>capturing</w:t>
      </w:r>
      <w:r>
        <w:t xml:space="preserve"> </w:t>
      </w:r>
      <w:r w:rsidRPr="007C5E58">
        <w:t>the</w:t>
      </w:r>
      <w:r>
        <w:t xml:space="preserve"> </w:t>
      </w:r>
      <w:r w:rsidRPr="007C5E58">
        <w:t>nuances</w:t>
      </w:r>
      <w:r>
        <w:t xml:space="preserve"> </w:t>
      </w:r>
      <w:r w:rsidRPr="007C5E58">
        <w:t>of</w:t>
      </w:r>
      <w:r>
        <w:t xml:space="preserve"> </w:t>
      </w:r>
      <w:r w:rsidRPr="007C5E58">
        <w:t>the</w:t>
      </w:r>
      <w:r>
        <w:t xml:space="preserve"> </w:t>
      </w:r>
      <w:r w:rsidRPr="007C5E58">
        <w:t>dataset.</w:t>
      </w:r>
      <w:r>
        <w:t xml:space="preserve"> </w:t>
      </w:r>
      <w:r w:rsidRPr="007C5E58">
        <w:t>But</w:t>
      </w:r>
      <w:r>
        <w:t xml:space="preserve"> </w:t>
      </w:r>
      <w:r w:rsidRPr="007C5E58">
        <w:t>here,</w:t>
      </w:r>
      <w:r>
        <w:t xml:space="preserve"> </w:t>
      </w:r>
      <w:r w:rsidRPr="007C5E58">
        <w:t>the</w:t>
      </w:r>
      <w:r>
        <w:t xml:space="preserve"> </w:t>
      </w:r>
      <w:r w:rsidRPr="007C5E58">
        <w:t>higher</w:t>
      </w:r>
      <w:r>
        <w:t xml:space="preserve"> </w:t>
      </w:r>
      <w:r w:rsidRPr="007C5E58">
        <w:t>p-value</w:t>
      </w:r>
      <w:r>
        <w:t xml:space="preserve"> </w:t>
      </w:r>
      <w:r w:rsidRPr="007C5E58">
        <w:t>reassures</w:t>
      </w:r>
      <w:r>
        <w:t xml:space="preserve"> </w:t>
      </w:r>
      <w:r w:rsidRPr="007C5E58">
        <w:t>us</w:t>
      </w:r>
      <w:r>
        <w:t xml:space="preserve"> </w:t>
      </w:r>
      <w:r w:rsidRPr="007C5E58">
        <w:t>that</w:t>
      </w:r>
      <w:r>
        <w:t xml:space="preserve"> </w:t>
      </w:r>
      <w:r w:rsidRPr="007C5E58">
        <w:t>the</w:t>
      </w:r>
      <w:r>
        <w:t xml:space="preserve"> </w:t>
      </w:r>
      <w:r w:rsidRPr="007C5E58">
        <w:t>residuals</w:t>
      </w:r>
      <w:r>
        <w:t xml:space="preserve"> </w:t>
      </w:r>
      <w:r w:rsidRPr="007C5E58">
        <w:t>are</w:t>
      </w:r>
      <w:r>
        <w:t xml:space="preserve"> </w:t>
      </w:r>
      <w:r w:rsidRPr="007C5E58">
        <w:t>distributed</w:t>
      </w:r>
      <w:r>
        <w:t xml:space="preserve"> </w:t>
      </w:r>
      <w:r w:rsidRPr="007C5E58">
        <w:t>randomly,</w:t>
      </w:r>
      <w:r>
        <w:t xml:space="preserve"> </w:t>
      </w:r>
      <w:r w:rsidRPr="007C5E58">
        <w:t>underscoring</w:t>
      </w:r>
      <w:r>
        <w:t xml:space="preserve"> </w:t>
      </w:r>
      <w:r w:rsidRPr="007C5E58">
        <w:t>the</w:t>
      </w:r>
      <w:r>
        <w:t xml:space="preserve"> </w:t>
      </w:r>
      <w:r w:rsidRPr="007C5E58">
        <w:t>model's</w:t>
      </w:r>
      <w:r>
        <w:t xml:space="preserve"> </w:t>
      </w:r>
      <w:r w:rsidRPr="007C5E58">
        <w:t>capacity</w:t>
      </w:r>
      <w:r>
        <w:t xml:space="preserve"> </w:t>
      </w:r>
      <w:r w:rsidRPr="007C5E58">
        <w:t>to</w:t>
      </w:r>
      <w:r>
        <w:t xml:space="preserve"> </w:t>
      </w:r>
      <w:r w:rsidRPr="007C5E58">
        <w:t>account</w:t>
      </w:r>
      <w:r>
        <w:t xml:space="preserve"> </w:t>
      </w:r>
      <w:r w:rsidRPr="007C5E58">
        <w:t>for</w:t>
      </w:r>
      <w:r>
        <w:t xml:space="preserve"> </w:t>
      </w:r>
      <w:r w:rsidRPr="007C5E58">
        <w:t>the</w:t>
      </w:r>
      <w:r>
        <w:t xml:space="preserve"> </w:t>
      </w:r>
      <w:r w:rsidRPr="007C5E58">
        <w:t>underlying</w:t>
      </w:r>
      <w:r>
        <w:t xml:space="preserve"> </w:t>
      </w:r>
      <w:r w:rsidRPr="007C5E58">
        <w:t>autocorrelation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housing</w:t>
      </w:r>
      <w:r>
        <w:t xml:space="preserve"> </w:t>
      </w:r>
      <w:r w:rsidRPr="007C5E58">
        <w:t>investment</w:t>
      </w:r>
      <w:r>
        <w:t xml:space="preserve"> </w:t>
      </w:r>
      <w:r w:rsidRPr="007C5E58">
        <w:t>data.</w:t>
      </w:r>
    </w:p>
    <w:p w14:paraId="67E634D1" w14:textId="02DC8315" w:rsidR="007C5E58" w:rsidRPr="007C5E58" w:rsidRDefault="007C5E58" w:rsidP="007C5E58">
      <w:pPr>
        <w:pStyle w:val="TTPParagraphothers"/>
        <w:ind w:firstLine="284"/>
      </w:pPr>
      <w:r w:rsidRPr="007C5E58">
        <w:t>The</w:t>
      </w:r>
      <w:r>
        <w:t xml:space="preserve"> </w:t>
      </w:r>
      <w:r w:rsidRPr="007C5E58">
        <w:t>combined</w:t>
      </w:r>
      <w:r>
        <w:t xml:space="preserve"> </w:t>
      </w:r>
      <w:r w:rsidRPr="007C5E58">
        <w:t>picture</w:t>
      </w:r>
      <w:r>
        <w:t xml:space="preserve"> </w:t>
      </w:r>
      <w:r w:rsidRPr="007C5E58">
        <w:t>these</w:t>
      </w:r>
      <w:r>
        <w:t xml:space="preserve"> </w:t>
      </w:r>
      <w:r w:rsidRPr="007C5E58">
        <w:t>analyses</w:t>
      </w:r>
      <w:r>
        <w:t xml:space="preserve"> </w:t>
      </w:r>
      <w:r w:rsidRPr="007C5E58">
        <w:t>paint</w:t>
      </w:r>
      <w:r>
        <w:t xml:space="preserve"> </w:t>
      </w:r>
      <w:r w:rsidRPr="007C5E58">
        <w:t>is</w:t>
      </w:r>
      <w:r>
        <w:t xml:space="preserve"> </w:t>
      </w:r>
      <w:r w:rsidRPr="007C5E58">
        <w:t>one</w:t>
      </w:r>
      <w:r>
        <w:t xml:space="preserve"> </w:t>
      </w:r>
      <w:r w:rsidRPr="007C5E58">
        <w:t>of</w:t>
      </w:r>
      <w:r>
        <w:t xml:space="preserve"> </w:t>
      </w:r>
      <w:r w:rsidRPr="007C5E58">
        <w:t>confidence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model's</w:t>
      </w:r>
      <w:r>
        <w:t xml:space="preserve"> </w:t>
      </w:r>
      <w:r w:rsidRPr="007C5E58">
        <w:t>ability</w:t>
      </w:r>
      <w:r>
        <w:t xml:space="preserve"> </w:t>
      </w:r>
      <w:r w:rsidRPr="007C5E58">
        <w:t>to</w:t>
      </w:r>
      <w:r>
        <w:t xml:space="preserve"> </w:t>
      </w:r>
      <w:r w:rsidRPr="007C5E58">
        <w:t>forecast</w:t>
      </w:r>
      <w:r>
        <w:t xml:space="preserve"> </w:t>
      </w:r>
      <w:r w:rsidRPr="007C5E58">
        <w:t>housing</w:t>
      </w:r>
      <w:r>
        <w:t xml:space="preserve"> </w:t>
      </w:r>
      <w:r w:rsidRPr="007C5E58">
        <w:t>investment</w:t>
      </w:r>
      <w:r>
        <w:t xml:space="preserve"> </w:t>
      </w:r>
      <w:r w:rsidRPr="007C5E58">
        <w:t>trends,</w:t>
      </w:r>
      <w:r>
        <w:t xml:space="preserve"> </w:t>
      </w:r>
      <w:r w:rsidRPr="007C5E58">
        <w:t>taking</w:t>
      </w:r>
      <w:r>
        <w:t xml:space="preserve"> </w:t>
      </w:r>
      <w:r w:rsidRPr="007C5E58">
        <w:t>into</w:t>
      </w:r>
      <w:r>
        <w:t xml:space="preserve"> </w:t>
      </w:r>
      <w:r w:rsidRPr="007C5E58">
        <w:t>account</w:t>
      </w:r>
      <w:r>
        <w:t xml:space="preserve"> </w:t>
      </w:r>
      <w:r w:rsidRPr="007C5E58">
        <w:t>the</w:t>
      </w:r>
      <w:r>
        <w:t xml:space="preserve"> </w:t>
      </w:r>
      <w:r w:rsidRPr="007C5E58">
        <w:t>inherent</w:t>
      </w:r>
      <w:r>
        <w:t xml:space="preserve"> </w:t>
      </w:r>
      <w:r w:rsidRPr="007C5E58">
        <w:t>temporal</w:t>
      </w:r>
      <w:r>
        <w:t xml:space="preserve"> </w:t>
      </w:r>
      <w:r w:rsidRPr="007C5E58">
        <w:t>fluctuations.</w:t>
      </w:r>
      <w:r>
        <w:t xml:space="preserve"> </w:t>
      </w:r>
      <w:r w:rsidRPr="007C5E58">
        <w:t>It's</w:t>
      </w:r>
      <w:r>
        <w:t xml:space="preserve"> </w:t>
      </w:r>
      <w:r w:rsidRPr="007C5E58">
        <w:t>a</w:t>
      </w:r>
      <w:r>
        <w:t xml:space="preserve"> </w:t>
      </w:r>
      <w:r w:rsidRPr="007C5E58">
        <w:t>testament</w:t>
      </w:r>
      <w:r>
        <w:t xml:space="preserve"> </w:t>
      </w:r>
      <w:r w:rsidRPr="007C5E58">
        <w:t>to</w:t>
      </w:r>
      <w:r>
        <w:t xml:space="preserve"> </w:t>
      </w:r>
      <w:r w:rsidRPr="007C5E58">
        <w:t>the</w:t>
      </w:r>
      <w:r>
        <w:t xml:space="preserve"> </w:t>
      </w:r>
      <w:r w:rsidRPr="007C5E58">
        <w:t>model's</w:t>
      </w:r>
      <w:r>
        <w:t xml:space="preserve"> </w:t>
      </w:r>
      <w:r w:rsidRPr="007C5E58">
        <w:t>soundness</w:t>
      </w:r>
      <w:r>
        <w:t xml:space="preserve"> </w:t>
      </w:r>
      <w:r w:rsidRPr="007C5E58">
        <w:t>that</w:t>
      </w:r>
      <w:r>
        <w:t xml:space="preserve"> </w:t>
      </w:r>
      <w:r w:rsidRPr="007C5E58">
        <w:t>the</w:t>
      </w:r>
      <w:r>
        <w:t xml:space="preserve"> </w:t>
      </w:r>
      <w:r w:rsidRPr="007C5E58">
        <w:t>residuals—</w:t>
      </w:r>
      <w:r>
        <w:t xml:space="preserve"> </w:t>
      </w:r>
      <w:r w:rsidRPr="007C5E58">
        <w:t>the</w:t>
      </w:r>
      <w:r>
        <w:t xml:space="preserve"> </w:t>
      </w:r>
      <w:r w:rsidRPr="007C5E58">
        <w:t>yardstick</w:t>
      </w:r>
      <w:r>
        <w:t xml:space="preserve"> </w:t>
      </w:r>
      <w:r w:rsidRPr="007C5E58">
        <w:t>for</w:t>
      </w:r>
      <w:r>
        <w:t xml:space="preserve"> </w:t>
      </w:r>
      <w:r w:rsidRPr="007C5E58">
        <w:t>accuracy—are</w:t>
      </w:r>
      <w:r>
        <w:t xml:space="preserve"> </w:t>
      </w:r>
      <w:r w:rsidRPr="007C5E58">
        <w:t>as</w:t>
      </w:r>
      <w:r>
        <w:t xml:space="preserve"> </w:t>
      </w:r>
      <w:r w:rsidRPr="007C5E58">
        <w:t>close</w:t>
      </w:r>
      <w:r>
        <w:t xml:space="preserve"> </w:t>
      </w:r>
      <w:r w:rsidRPr="007C5E58">
        <w:t>to</w:t>
      </w:r>
      <w:r>
        <w:t xml:space="preserve"> </w:t>
      </w:r>
      <w:r w:rsidRPr="007C5E58">
        <w:t>random</w:t>
      </w:r>
      <w:r>
        <w:t xml:space="preserve"> </w:t>
      </w:r>
      <w:r w:rsidRPr="007C5E58">
        <w:t>as</w:t>
      </w:r>
      <w:r>
        <w:t xml:space="preserve"> </w:t>
      </w:r>
      <w:r w:rsidRPr="007C5E58">
        <w:t>this</w:t>
      </w:r>
      <w:r>
        <w:t xml:space="preserve"> </w:t>
      </w:r>
      <w:r w:rsidRPr="007C5E58">
        <w:t>paper</w:t>
      </w:r>
      <w:r>
        <w:t xml:space="preserve"> </w:t>
      </w:r>
      <w:r w:rsidRPr="007C5E58">
        <w:t>can</w:t>
      </w:r>
      <w:r>
        <w:t xml:space="preserve"> </w:t>
      </w:r>
      <w:r w:rsidRPr="007C5E58">
        <w:t>hope,</w:t>
      </w:r>
      <w:r>
        <w:t xml:space="preserve"> </w:t>
      </w:r>
      <w:r w:rsidRPr="007C5E58">
        <w:t>suggesting</w:t>
      </w:r>
      <w:r>
        <w:t xml:space="preserve"> </w:t>
      </w:r>
      <w:r w:rsidRPr="007C5E58">
        <w:t>that</w:t>
      </w:r>
      <w:r>
        <w:t xml:space="preserve"> </w:t>
      </w:r>
      <w:r w:rsidRPr="007C5E58">
        <w:t>the</w:t>
      </w:r>
      <w:r>
        <w:t xml:space="preserve"> </w:t>
      </w:r>
      <w:r w:rsidRPr="007C5E58">
        <w:t>ARIMA</w:t>
      </w:r>
      <w:r>
        <w:t xml:space="preserve"> </w:t>
      </w:r>
      <w:r w:rsidRPr="007C5E58">
        <w:t>model's</w:t>
      </w:r>
      <w:r>
        <w:t xml:space="preserve"> </w:t>
      </w:r>
      <w:r w:rsidRPr="007C5E58">
        <w:t>insights</w:t>
      </w:r>
      <w:r>
        <w:t xml:space="preserve"> </w:t>
      </w:r>
      <w:r w:rsidRPr="007C5E58">
        <w:t>are</w:t>
      </w:r>
      <w:r>
        <w:t xml:space="preserve"> </w:t>
      </w:r>
      <w:r w:rsidRPr="007C5E58">
        <w:t>well-founded</w:t>
      </w:r>
      <w:r>
        <w:t xml:space="preserve"> </w:t>
      </w:r>
      <w:r w:rsidRPr="007C5E58">
        <w:t>and</w:t>
      </w:r>
      <w:r>
        <w:t xml:space="preserve"> </w:t>
      </w:r>
      <w:r w:rsidRPr="007C5E58">
        <w:t>reliable</w:t>
      </w:r>
      <w:r>
        <w:t xml:space="preserve"> </w:t>
      </w:r>
      <w:r w:rsidRPr="007C5E58">
        <w:t>for</w:t>
      </w:r>
      <w:r>
        <w:t xml:space="preserve"> </w:t>
      </w:r>
      <w:r w:rsidRPr="007C5E58">
        <w:t>interpreting</w:t>
      </w:r>
      <w:r>
        <w:t xml:space="preserve"> </w:t>
      </w:r>
      <w:r w:rsidRPr="007C5E58">
        <w:t>past</w:t>
      </w:r>
      <w:r>
        <w:t xml:space="preserve"> </w:t>
      </w:r>
      <w:r w:rsidRPr="007C5E58">
        <w:t>trends</w:t>
      </w:r>
      <w:r>
        <w:t xml:space="preserve"> </w:t>
      </w:r>
      <w:r w:rsidRPr="007C5E58">
        <w:t>to</w:t>
      </w:r>
      <w:r>
        <w:t xml:space="preserve"> </w:t>
      </w:r>
      <w:r w:rsidRPr="007C5E58">
        <w:t>predict</w:t>
      </w:r>
      <w:r>
        <w:t xml:space="preserve"> </w:t>
      </w:r>
      <w:r w:rsidRPr="007C5E58">
        <w:t>future</w:t>
      </w:r>
      <w:r>
        <w:t xml:space="preserve"> </w:t>
      </w:r>
      <w:r w:rsidRPr="007C5E58">
        <w:t>movements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housing</w:t>
      </w:r>
      <w:r>
        <w:t xml:space="preserve"> </w:t>
      </w:r>
      <w:r w:rsidRPr="007C5E58">
        <w:t>market.</w:t>
      </w:r>
    </w:p>
    <w:p w14:paraId="05851EFB" w14:textId="522B56D1" w:rsidR="007C5E58" w:rsidRPr="007C5E58" w:rsidRDefault="007C5E58" w:rsidP="007C5E58">
      <w:pPr>
        <w:pStyle w:val="TTPParagraphothers"/>
        <w:ind w:firstLine="284"/>
      </w:pPr>
      <w:r w:rsidRPr="007C5E58">
        <w:t>In</w:t>
      </w:r>
      <w:r>
        <w:t xml:space="preserve"> </w:t>
      </w:r>
      <w:r w:rsidRPr="007C5E58">
        <w:t>this</w:t>
      </w:r>
      <w:r>
        <w:t xml:space="preserve"> </w:t>
      </w:r>
      <w:r w:rsidRPr="007C5E58">
        <w:t>study,</w:t>
      </w:r>
      <w:r>
        <w:t xml:space="preserve"> </w:t>
      </w:r>
      <w:r w:rsidRPr="007C5E58">
        <w:t>the</w:t>
      </w:r>
      <w:r>
        <w:t xml:space="preserve"> </w:t>
      </w:r>
      <w:r w:rsidRPr="007C5E58">
        <w:t>model</w:t>
      </w:r>
      <w:r>
        <w:t xml:space="preserve"> </w:t>
      </w:r>
      <w:r w:rsidRPr="007C5E58">
        <w:t>shows</w:t>
      </w:r>
      <w:r>
        <w:t xml:space="preserve"> </w:t>
      </w:r>
      <w:r w:rsidRPr="007C5E58">
        <w:t>us</w:t>
      </w:r>
      <w:r>
        <w:t xml:space="preserve"> </w:t>
      </w:r>
      <w:r w:rsidRPr="007C5E58">
        <w:t>how</w:t>
      </w:r>
      <w:r>
        <w:t xml:space="preserve"> </w:t>
      </w:r>
      <w:r w:rsidRPr="007C5E58">
        <w:t>different</w:t>
      </w:r>
      <w:r>
        <w:t xml:space="preserve"> </w:t>
      </w:r>
      <w:r w:rsidRPr="007C5E58">
        <w:t>factors</w:t>
      </w:r>
      <w:r>
        <w:t xml:space="preserve"> </w:t>
      </w:r>
      <w:r w:rsidRPr="007C5E58">
        <w:t>are</w:t>
      </w:r>
      <w:r>
        <w:t xml:space="preserve"> </w:t>
      </w:r>
      <w:r w:rsidRPr="007C5E58">
        <w:t>connected</w:t>
      </w:r>
      <w:r>
        <w:t xml:space="preserve"> </w:t>
      </w:r>
      <w:r w:rsidRPr="007C5E58">
        <w:t>to</w:t>
      </w:r>
      <w:r>
        <w:t xml:space="preserve"> </w:t>
      </w:r>
      <w:r w:rsidRPr="007C5E58">
        <w:t>housing</w:t>
      </w:r>
      <w:r>
        <w:t xml:space="preserve"> </w:t>
      </w:r>
      <w:r w:rsidRPr="007C5E58">
        <w:t>investment.</w:t>
      </w:r>
      <w:r>
        <w:t xml:space="preserve"> </w:t>
      </w:r>
      <w:r w:rsidRPr="007C5E58">
        <w:t>For</w:t>
      </w:r>
      <w:r>
        <w:t xml:space="preserve"> </w:t>
      </w:r>
      <w:r w:rsidRPr="007C5E58">
        <w:t>example,</w:t>
      </w:r>
      <w:r>
        <w:t xml:space="preserve"> </w:t>
      </w:r>
      <w:r w:rsidRPr="007C5E58">
        <w:t>when</w:t>
      </w:r>
      <w:r>
        <w:t xml:space="preserve"> </w:t>
      </w:r>
      <w:r w:rsidRPr="007C5E58">
        <w:t>steel</w:t>
      </w:r>
      <w:r>
        <w:t xml:space="preserve"> </w:t>
      </w:r>
      <w:r w:rsidRPr="007C5E58">
        <w:t>production</w:t>
      </w:r>
      <w:r>
        <w:t xml:space="preserve"> </w:t>
      </w:r>
      <w:r w:rsidRPr="007C5E58">
        <w:t>goes</w:t>
      </w:r>
      <w:r>
        <w:t xml:space="preserve"> </w:t>
      </w:r>
      <w:r w:rsidRPr="007C5E58">
        <w:t>up,</w:t>
      </w:r>
      <w:r>
        <w:t xml:space="preserve"> </w:t>
      </w:r>
      <w:r w:rsidRPr="007C5E58">
        <w:t>housing</w:t>
      </w:r>
      <w:r>
        <w:t xml:space="preserve"> </w:t>
      </w:r>
      <w:r w:rsidRPr="007C5E58">
        <w:t>investment</w:t>
      </w:r>
      <w:r>
        <w:t xml:space="preserve"> </w:t>
      </w:r>
      <w:r w:rsidRPr="007C5E58">
        <w:t>tends</w:t>
      </w:r>
      <w:r>
        <w:t xml:space="preserve"> </w:t>
      </w:r>
      <w:r w:rsidRPr="007C5E58">
        <w:t>to</w:t>
      </w:r>
      <w:r>
        <w:t xml:space="preserve"> </w:t>
      </w:r>
      <w:r w:rsidRPr="007C5E58">
        <w:t>go</w:t>
      </w:r>
      <w:r>
        <w:t xml:space="preserve"> </w:t>
      </w:r>
      <w:r w:rsidRPr="007C5E58">
        <w:t>down.[10]</w:t>
      </w:r>
      <w:r>
        <w:t xml:space="preserve"> </w:t>
      </w:r>
      <w:r w:rsidRPr="007C5E58">
        <w:t>On</w:t>
      </w:r>
      <w:r>
        <w:t xml:space="preserve"> </w:t>
      </w:r>
      <w:r w:rsidRPr="007C5E58">
        <w:t>the</w:t>
      </w:r>
      <w:r>
        <w:t xml:space="preserve"> </w:t>
      </w:r>
      <w:r w:rsidRPr="007C5E58">
        <w:t>other</w:t>
      </w:r>
      <w:r>
        <w:t xml:space="preserve"> </w:t>
      </w:r>
      <w:r w:rsidRPr="007C5E58">
        <w:t>hand,</w:t>
      </w:r>
      <w:r>
        <w:t xml:space="preserve"> </w:t>
      </w:r>
      <w:r w:rsidRPr="007C5E58">
        <w:t>when</w:t>
      </w:r>
      <w:r>
        <w:t xml:space="preserve"> </w:t>
      </w:r>
      <w:r w:rsidRPr="007C5E58">
        <w:t>more</w:t>
      </w:r>
      <w:r>
        <w:t xml:space="preserve"> </w:t>
      </w:r>
      <w:r w:rsidRPr="007C5E58">
        <w:t>concrete</w:t>
      </w:r>
      <w:r>
        <w:t xml:space="preserve"> </w:t>
      </w:r>
      <w:r w:rsidRPr="007C5E58">
        <w:t>is</w:t>
      </w:r>
      <w:r>
        <w:t xml:space="preserve"> </w:t>
      </w:r>
      <w:r w:rsidRPr="007C5E58">
        <w:t>produced,</w:t>
      </w:r>
      <w:r>
        <w:t xml:space="preserve"> </w:t>
      </w:r>
      <w:r w:rsidRPr="007C5E58">
        <w:t>it</w:t>
      </w:r>
      <w:r>
        <w:t xml:space="preserve"> </w:t>
      </w:r>
      <w:r w:rsidRPr="007C5E58">
        <w:t>seems</w:t>
      </w:r>
      <w:r>
        <w:t xml:space="preserve"> </w:t>
      </w:r>
      <w:r w:rsidRPr="007C5E58">
        <w:t>to</w:t>
      </w:r>
      <w:r>
        <w:t xml:space="preserve"> </w:t>
      </w:r>
      <w:r w:rsidRPr="007C5E58">
        <w:t>boost</w:t>
      </w:r>
      <w:r>
        <w:t xml:space="preserve"> </w:t>
      </w:r>
      <w:r w:rsidRPr="007C5E58">
        <w:t>housing</w:t>
      </w:r>
      <w:r>
        <w:t xml:space="preserve"> </w:t>
      </w:r>
      <w:r w:rsidRPr="007C5E58">
        <w:t>investment.</w:t>
      </w:r>
      <w:r>
        <w:t xml:space="preserve"> </w:t>
      </w:r>
      <w:r w:rsidRPr="007C5E58">
        <w:t>Changes</w:t>
      </w:r>
      <w:r>
        <w:t xml:space="preserve"> </w:t>
      </w:r>
      <w:r w:rsidRPr="007C5E58">
        <w:t>in</w:t>
      </w:r>
      <w:r>
        <w:t xml:space="preserve"> </w:t>
      </w:r>
      <w:r w:rsidRPr="007C5E58">
        <w:t>aluminum</w:t>
      </w:r>
      <w:r>
        <w:t xml:space="preserve"> </w:t>
      </w:r>
      <w:r w:rsidRPr="007C5E58">
        <w:t>production</w:t>
      </w:r>
      <w:r>
        <w:t xml:space="preserve"> </w:t>
      </w:r>
      <w:r w:rsidRPr="007C5E58">
        <w:t>don’t</w:t>
      </w:r>
      <w:r>
        <w:t xml:space="preserve"> </w:t>
      </w:r>
      <w:r w:rsidRPr="007C5E58">
        <w:t>really</w:t>
      </w:r>
      <w:r>
        <w:t xml:space="preserve"> </w:t>
      </w:r>
      <w:r w:rsidRPr="007C5E58">
        <w:t>have</w:t>
      </w:r>
      <w:r>
        <w:t xml:space="preserve"> </w:t>
      </w:r>
      <w:r w:rsidRPr="007C5E58">
        <w:t>a</w:t>
      </w:r>
      <w:r>
        <w:t xml:space="preserve"> </w:t>
      </w:r>
      <w:r w:rsidRPr="007C5E58">
        <w:t>big</w:t>
      </w:r>
      <w:r>
        <w:t xml:space="preserve"> </w:t>
      </w:r>
      <w:r w:rsidRPr="007C5E58">
        <w:t>impact</w:t>
      </w:r>
      <w:r>
        <w:t xml:space="preserve"> </w:t>
      </w:r>
      <w:r w:rsidRPr="007C5E58">
        <w:t>either</w:t>
      </w:r>
      <w:r>
        <w:t xml:space="preserve"> </w:t>
      </w:r>
      <w:r w:rsidRPr="007C5E58">
        <w:t>way.</w:t>
      </w:r>
      <w:r>
        <w:t xml:space="preserve"> </w:t>
      </w:r>
      <w:r w:rsidRPr="007C5E58">
        <w:t>However,</w:t>
      </w:r>
      <w:r>
        <w:t xml:space="preserve"> </w:t>
      </w:r>
      <w:r w:rsidRPr="007C5E58">
        <w:t>when</w:t>
      </w:r>
      <w:r>
        <w:t xml:space="preserve"> </w:t>
      </w:r>
      <w:r w:rsidRPr="007C5E58">
        <w:t>housing</w:t>
      </w:r>
      <w:r>
        <w:t xml:space="preserve"> </w:t>
      </w:r>
      <w:r w:rsidRPr="007C5E58">
        <w:t>sales</w:t>
      </w:r>
      <w:r>
        <w:t xml:space="preserve"> </w:t>
      </w:r>
      <w:r w:rsidRPr="007C5E58">
        <w:t>increase,</w:t>
      </w:r>
      <w:r>
        <w:t xml:space="preserve"> </w:t>
      </w:r>
      <w:r w:rsidRPr="007C5E58">
        <w:t>there's</w:t>
      </w:r>
      <w:r>
        <w:t xml:space="preserve"> </w:t>
      </w:r>
      <w:r w:rsidRPr="007C5E58">
        <w:t>a</w:t>
      </w:r>
      <w:r>
        <w:t xml:space="preserve"> </w:t>
      </w:r>
      <w:r w:rsidRPr="007C5E58">
        <w:t>strong</w:t>
      </w:r>
      <w:r>
        <w:t xml:space="preserve"> </w:t>
      </w:r>
      <w:r w:rsidRPr="007C5E58">
        <w:t>chance</w:t>
      </w:r>
      <w:r>
        <w:t xml:space="preserve"> </w:t>
      </w:r>
      <w:r w:rsidRPr="007C5E58">
        <w:t>that</w:t>
      </w:r>
      <w:r>
        <w:t xml:space="preserve"> </w:t>
      </w:r>
      <w:r w:rsidRPr="007C5E58">
        <w:t>housing</w:t>
      </w:r>
      <w:r>
        <w:t xml:space="preserve"> </w:t>
      </w:r>
      <w:r w:rsidRPr="007C5E58">
        <w:t>investment</w:t>
      </w:r>
      <w:r>
        <w:t xml:space="preserve"> </w:t>
      </w:r>
      <w:r w:rsidRPr="007C5E58">
        <w:t>will</w:t>
      </w:r>
      <w:r>
        <w:t xml:space="preserve"> </w:t>
      </w:r>
      <w:r w:rsidRPr="007C5E58">
        <w:t>rise</w:t>
      </w:r>
      <w:r>
        <w:t xml:space="preserve"> </w:t>
      </w:r>
      <w:r w:rsidRPr="007C5E58">
        <w:t>too.</w:t>
      </w:r>
      <w:r>
        <w:t xml:space="preserve"> </w:t>
      </w:r>
      <w:r w:rsidRPr="007C5E58">
        <w:t>Interestingly,</w:t>
      </w:r>
      <w:r>
        <w:t xml:space="preserve"> </w:t>
      </w:r>
      <w:r w:rsidRPr="007C5E58">
        <w:t>when</w:t>
      </w:r>
      <w:r>
        <w:t xml:space="preserve"> </w:t>
      </w:r>
      <w:r w:rsidRPr="007C5E58">
        <w:t>there's</w:t>
      </w:r>
      <w:r>
        <w:t xml:space="preserve"> </w:t>
      </w:r>
      <w:r w:rsidRPr="007C5E58">
        <w:t>more</w:t>
      </w:r>
      <w:r>
        <w:t xml:space="preserve"> </w:t>
      </w:r>
      <w:r w:rsidRPr="007C5E58">
        <w:t>money</w:t>
      </w:r>
      <w:r>
        <w:t xml:space="preserve"> </w:t>
      </w:r>
      <w:r w:rsidRPr="007C5E58">
        <w:lastRenderedPageBreak/>
        <w:t>available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economy</w:t>
      </w:r>
      <w:r>
        <w:t xml:space="preserve"> </w:t>
      </w:r>
      <w:r w:rsidRPr="007C5E58">
        <w:t>(M2</w:t>
      </w:r>
      <w:r>
        <w:t xml:space="preserve"> </w:t>
      </w:r>
      <w:r w:rsidRPr="007C5E58">
        <w:t>money</w:t>
      </w:r>
      <w:r>
        <w:t xml:space="preserve"> </w:t>
      </w:r>
      <w:r w:rsidRPr="007C5E58">
        <w:t>supply),</w:t>
      </w:r>
      <w:r>
        <w:t xml:space="preserve"> </w:t>
      </w:r>
      <w:r w:rsidRPr="007C5E58">
        <w:t>housing</w:t>
      </w:r>
      <w:r>
        <w:t xml:space="preserve"> </w:t>
      </w:r>
      <w:r w:rsidRPr="007C5E58">
        <w:t>investment</w:t>
      </w:r>
      <w:r>
        <w:t xml:space="preserve"> </w:t>
      </w:r>
      <w:r w:rsidRPr="007C5E58">
        <w:t>surprisingly</w:t>
      </w:r>
      <w:r>
        <w:t xml:space="preserve"> </w:t>
      </w:r>
      <w:r w:rsidRPr="007C5E58">
        <w:t>tends</w:t>
      </w:r>
      <w:r>
        <w:t xml:space="preserve"> </w:t>
      </w:r>
      <w:r w:rsidRPr="007C5E58">
        <w:t>to</w:t>
      </w:r>
      <w:r>
        <w:t xml:space="preserve"> </w:t>
      </w:r>
      <w:r w:rsidRPr="007C5E58">
        <w:t>drop,</w:t>
      </w:r>
      <w:r>
        <w:t xml:space="preserve"> </w:t>
      </w:r>
      <w:r w:rsidRPr="007C5E58">
        <w:t>which</w:t>
      </w:r>
      <w:r>
        <w:t xml:space="preserve"> </w:t>
      </w:r>
      <w:r w:rsidRPr="007C5E58">
        <w:t>is</w:t>
      </w:r>
      <w:r>
        <w:t xml:space="preserve"> </w:t>
      </w:r>
      <w:r w:rsidRPr="007C5E58">
        <w:t>not</w:t>
      </w:r>
      <w:r>
        <w:t xml:space="preserve"> </w:t>
      </w:r>
      <w:r w:rsidRPr="007C5E58">
        <w:t>what</w:t>
      </w:r>
      <w:r>
        <w:t xml:space="preserve"> </w:t>
      </w:r>
      <w:r w:rsidRPr="007C5E58">
        <w:t>the</w:t>
      </w:r>
      <w:r>
        <w:t xml:space="preserve"> </w:t>
      </w:r>
      <w:r w:rsidRPr="007C5E58">
        <w:t>common</w:t>
      </w:r>
      <w:r>
        <w:t xml:space="preserve"> </w:t>
      </w:r>
      <w:r w:rsidRPr="007C5E58">
        <w:t>sense</w:t>
      </w:r>
      <w:r>
        <w:t xml:space="preserve"> </w:t>
      </w:r>
      <w:r w:rsidRPr="007C5E58">
        <w:t>might</w:t>
      </w:r>
      <w:r>
        <w:t xml:space="preserve"> </w:t>
      </w:r>
      <w:r w:rsidRPr="007C5E58">
        <w:t>expect.</w:t>
      </w:r>
    </w:p>
    <w:p w14:paraId="5F02299F" w14:textId="77777777" w:rsidR="007C5E58" w:rsidRPr="007C5E58" w:rsidRDefault="007C5E58" w:rsidP="007C5E58">
      <w:pPr>
        <w:pStyle w:val="TTPParagraphothers"/>
        <w:spacing w:before="120"/>
        <w:ind w:firstLine="0"/>
        <w:jc w:val="center"/>
      </w:pPr>
      <w:r w:rsidRPr="007C5E58">
        <w:rPr>
          <w:noProof/>
        </w:rPr>
        <w:drawing>
          <wp:inline distT="0" distB="0" distL="0" distR="0" wp14:anchorId="7D3B3E9A" wp14:editId="765C2E1A">
            <wp:extent cx="5144033" cy="3175000"/>
            <wp:effectExtent l="0" t="0" r="0" b="6350"/>
            <wp:docPr id="19491479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" r="6274" b="1815"/>
                    <a:stretch/>
                  </pic:blipFill>
                  <pic:spPr bwMode="auto">
                    <a:xfrm>
                      <a:off x="0" y="0"/>
                      <a:ext cx="5145825" cy="317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039991" w14:textId="1F049654" w:rsidR="007C5E58" w:rsidRPr="007C5E58" w:rsidRDefault="007C5E58" w:rsidP="00A12D89">
      <w:pPr>
        <w:pStyle w:val="TTPParagraphothers"/>
        <w:spacing w:before="60" w:after="60"/>
        <w:ind w:firstLine="0"/>
        <w:jc w:val="center"/>
      </w:pPr>
      <w:r w:rsidRPr="007C5E58">
        <w:rPr>
          <w:b/>
        </w:rPr>
        <w:t>Fig</w:t>
      </w:r>
      <w:r>
        <w:rPr>
          <w:rFonts w:hint="eastAsia"/>
          <w:b/>
          <w:lang w:eastAsia="zh-CN"/>
        </w:rPr>
        <w:t>ure</w:t>
      </w:r>
      <w:r>
        <w:rPr>
          <w:b/>
        </w:rPr>
        <w:t xml:space="preserve"> </w:t>
      </w:r>
      <w:r w:rsidRPr="007C5E58">
        <w:rPr>
          <w:b/>
        </w:rPr>
        <w:t>1</w:t>
      </w:r>
      <w:r>
        <w:rPr>
          <w:rFonts w:hint="eastAsia"/>
          <w:b/>
          <w:lang w:eastAsia="zh-CN"/>
        </w:rPr>
        <w:t>.</w:t>
      </w:r>
      <w:r>
        <w:t xml:space="preserve"> </w:t>
      </w:r>
      <w:r w:rsidRPr="007C5E58">
        <w:t>Residual</w:t>
      </w:r>
      <w:r>
        <w:t xml:space="preserve"> </w:t>
      </w:r>
      <w:r w:rsidRPr="007C5E58">
        <w:t>check</w:t>
      </w:r>
      <w:r>
        <w:t xml:space="preserve"> </w:t>
      </w:r>
      <w:r w:rsidRPr="007C5E58">
        <w:t>for</w:t>
      </w:r>
      <w:r>
        <w:t xml:space="preserve"> </w:t>
      </w:r>
      <w:r w:rsidRPr="007C5E58">
        <w:t>the</w:t>
      </w:r>
      <w:r>
        <w:t xml:space="preserve"> </w:t>
      </w:r>
      <w:r w:rsidRPr="007C5E58">
        <w:t>ARIMA</w:t>
      </w:r>
      <w:r>
        <w:t xml:space="preserve"> </w:t>
      </w:r>
      <w:r w:rsidRPr="007C5E58">
        <w:t>model</w:t>
      </w:r>
    </w:p>
    <w:p w14:paraId="2758D1B2" w14:textId="002844AD" w:rsidR="007C5E58" w:rsidRPr="007C5E58" w:rsidRDefault="007C5E58" w:rsidP="007C5E58">
      <w:pPr>
        <w:pStyle w:val="TTPParagraphothers"/>
        <w:ind w:firstLine="284"/>
      </w:pPr>
      <w:r w:rsidRPr="007C5E58">
        <w:t>The</w:t>
      </w:r>
      <w:r>
        <w:t xml:space="preserve"> </w:t>
      </w:r>
      <w:r w:rsidRPr="007C5E58">
        <w:t>model</w:t>
      </w:r>
      <w:r>
        <w:t xml:space="preserve"> </w:t>
      </w:r>
      <w:r w:rsidRPr="007C5E58">
        <w:t>fits</w:t>
      </w:r>
      <w:r>
        <w:t xml:space="preserve"> </w:t>
      </w:r>
      <w:r w:rsidRPr="007C5E58">
        <w:t>the</w:t>
      </w:r>
      <w:r>
        <w:t xml:space="preserve"> </w:t>
      </w:r>
      <w:r w:rsidRPr="007C5E58">
        <w:t>historical</w:t>
      </w:r>
      <w:r>
        <w:t xml:space="preserve"> </w:t>
      </w:r>
      <w:r w:rsidRPr="007C5E58">
        <w:t>data</w:t>
      </w:r>
      <w:r>
        <w:t xml:space="preserve"> </w:t>
      </w:r>
      <w:r w:rsidRPr="007C5E58">
        <w:t>well,</w:t>
      </w:r>
      <w:r>
        <w:t xml:space="preserve"> </w:t>
      </w:r>
      <w:r w:rsidRPr="007C5E58">
        <w:t>as</w:t>
      </w:r>
      <w:r>
        <w:t xml:space="preserve"> </w:t>
      </w:r>
      <w:r w:rsidRPr="007C5E58">
        <w:t>seen</w:t>
      </w:r>
      <w:r>
        <w:t xml:space="preserve"> </w:t>
      </w:r>
      <w:r w:rsidRPr="007C5E58">
        <w:t>by</w:t>
      </w:r>
      <w:r>
        <w:t xml:space="preserve"> </w:t>
      </w:r>
      <w:r w:rsidRPr="007C5E58">
        <w:t>some</w:t>
      </w:r>
      <w:r>
        <w:t xml:space="preserve"> </w:t>
      </w:r>
      <w:r w:rsidRPr="007C5E58">
        <w:t>technical</w:t>
      </w:r>
      <w:r>
        <w:t xml:space="preserve"> </w:t>
      </w:r>
      <w:r w:rsidRPr="007C5E58">
        <w:t>statistics</w:t>
      </w:r>
      <w:r>
        <w:t xml:space="preserve"> </w:t>
      </w:r>
      <w:r w:rsidRPr="007C5E58">
        <w:t>that</w:t>
      </w:r>
      <w:r>
        <w:t xml:space="preserve"> </w:t>
      </w:r>
      <w:r w:rsidRPr="007C5E58">
        <w:t>tell</w:t>
      </w:r>
      <w:r>
        <w:t xml:space="preserve"> </w:t>
      </w:r>
      <w:r w:rsidRPr="007C5E58">
        <w:t>us</w:t>
      </w:r>
      <w:r>
        <w:t xml:space="preserve"> </w:t>
      </w:r>
      <w:r w:rsidRPr="007C5E58">
        <w:t>the</w:t>
      </w:r>
      <w:r>
        <w:t xml:space="preserve"> </w:t>
      </w:r>
      <w:r w:rsidRPr="007C5E58">
        <w:t>model's</w:t>
      </w:r>
      <w:r>
        <w:t xml:space="preserve"> </w:t>
      </w:r>
      <w:r w:rsidRPr="007C5E58">
        <w:t>predictions</w:t>
      </w:r>
      <w:r>
        <w:t xml:space="preserve"> </w:t>
      </w:r>
      <w:r w:rsidRPr="007C5E58">
        <w:t>are</w:t>
      </w:r>
      <w:r>
        <w:t xml:space="preserve"> </w:t>
      </w:r>
      <w:r w:rsidRPr="007C5E58">
        <w:t>generally</w:t>
      </w:r>
      <w:r>
        <w:t xml:space="preserve"> </w:t>
      </w:r>
      <w:r w:rsidRPr="007C5E58">
        <w:t>reliable</w:t>
      </w:r>
      <w:r>
        <w:t xml:space="preserve"> </w:t>
      </w:r>
      <w:r w:rsidRPr="007C5E58">
        <w:t>and</w:t>
      </w:r>
      <w:r>
        <w:t xml:space="preserve"> </w:t>
      </w:r>
      <w:r w:rsidRPr="007C5E58">
        <w:t>not</w:t>
      </w:r>
      <w:r>
        <w:t xml:space="preserve"> </w:t>
      </w:r>
      <w:r w:rsidRPr="007C5E58">
        <w:t>overly</w:t>
      </w:r>
      <w:r>
        <w:t xml:space="preserve"> </w:t>
      </w:r>
      <w:r w:rsidRPr="007C5E58">
        <w:t>complicated.</w:t>
      </w:r>
      <w:r>
        <w:t xml:space="preserve"> </w:t>
      </w:r>
      <w:r w:rsidRPr="007C5E58">
        <w:t>It's</w:t>
      </w:r>
      <w:r>
        <w:t xml:space="preserve"> </w:t>
      </w:r>
      <w:r w:rsidRPr="007C5E58">
        <w:t>pretty</w:t>
      </w:r>
      <w:r>
        <w:t xml:space="preserve"> </w:t>
      </w:r>
      <w:r w:rsidRPr="007C5E58">
        <w:t>accurate</w:t>
      </w:r>
      <w:r>
        <w:t xml:space="preserve"> </w:t>
      </w:r>
      <w:r w:rsidRPr="007C5E58">
        <w:t>in</w:t>
      </w:r>
      <w:r>
        <w:t xml:space="preserve"> </w:t>
      </w:r>
      <w:r w:rsidRPr="007C5E58">
        <w:t>its</w:t>
      </w:r>
      <w:r>
        <w:t xml:space="preserve"> </w:t>
      </w:r>
      <w:r w:rsidRPr="007C5E58">
        <w:t>forecasts,</w:t>
      </w:r>
      <w:r>
        <w:t xml:space="preserve"> </w:t>
      </w:r>
      <w:r w:rsidRPr="007C5E58">
        <w:t>which</w:t>
      </w:r>
      <w:r>
        <w:t xml:space="preserve"> </w:t>
      </w:r>
      <w:r w:rsidRPr="007C5E58">
        <w:t>might</w:t>
      </w:r>
      <w:r>
        <w:t xml:space="preserve"> </w:t>
      </w:r>
      <w:r w:rsidRPr="007C5E58">
        <w:t>because</w:t>
      </w:r>
      <w:r>
        <w:t xml:space="preserve"> </w:t>
      </w:r>
      <w:r w:rsidRPr="007C5E58">
        <w:t>the</w:t>
      </w:r>
      <w:r>
        <w:t xml:space="preserve"> </w:t>
      </w:r>
      <w:r w:rsidRPr="007C5E58">
        <w:t>errors</w:t>
      </w:r>
      <w:r>
        <w:t xml:space="preserve"> </w:t>
      </w:r>
      <w:r w:rsidRPr="007C5E58">
        <w:t>in</w:t>
      </w:r>
      <w:r>
        <w:t xml:space="preserve"> </w:t>
      </w:r>
      <w:r w:rsidRPr="007C5E58">
        <w:t>its</w:t>
      </w:r>
      <w:r>
        <w:t xml:space="preserve"> </w:t>
      </w:r>
      <w:r w:rsidRPr="007C5E58">
        <w:t>predictions</w:t>
      </w:r>
      <w:r>
        <w:t xml:space="preserve"> </w:t>
      </w:r>
      <w:r w:rsidRPr="007C5E58">
        <w:t>are</w:t>
      </w:r>
      <w:r>
        <w:t xml:space="preserve"> </w:t>
      </w:r>
      <w:r w:rsidRPr="007C5E58">
        <w:t>quite</w:t>
      </w:r>
      <w:r>
        <w:t xml:space="preserve"> </w:t>
      </w:r>
      <w:r w:rsidRPr="007C5E58">
        <w:t>small.</w:t>
      </w:r>
      <w:r>
        <w:t xml:space="preserve"> </w:t>
      </w:r>
      <w:r w:rsidRPr="007C5E58">
        <w:t>But</w:t>
      </w:r>
      <w:r>
        <w:t xml:space="preserve"> </w:t>
      </w:r>
      <w:r w:rsidRPr="007C5E58">
        <w:t>there</w:t>
      </w:r>
      <w:r>
        <w:t xml:space="preserve"> </w:t>
      </w:r>
      <w:r w:rsidRPr="007C5E58">
        <w:t>are</w:t>
      </w:r>
      <w:r>
        <w:t xml:space="preserve"> </w:t>
      </w:r>
      <w:r w:rsidRPr="007C5E58">
        <w:t>some</w:t>
      </w:r>
      <w:r>
        <w:t xml:space="preserve"> </w:t>
      </w:r>
      <w:r w:rsidRPr="007C5E58">
        <w:t>areas</w:t>
      </w:r>
      <w:r>
        <w:t xml:space="preserve"> </w:t>
      </w:r>
      <w:r w:rsidRPr="007C5E58">
        <w:t>where</w:t>
      </w:r>
      <w:r>
        <w:t xml:space="preserve"> </w:t>
      </w:r>
      <w:r w:rsidRPr="007C5E58">
        <w:t>the</w:t>
      </w:r>
      <w:r>
        <w:t xml:space="preserve"> </w:t>
      </w:r>
      <w:r w:rsidRPr="007C5E58">
        <w:t>model</w:t>
      </w:r>
      <w:r>
        <w:t xml:space="preserve"> </w:t>
      </w:r>
      <w:r w:rsidRPr="007C5E58">
        <w:t>doesn't</w:t>
      </w:r>
      <w:r>
        <w:t xml:space="preserve"> </w:t>
      </w:r>
      <w:r w:rsidRPr="007C5E58">
        <w:t>do</w:t>
      </w:r>
      <w:r>
        <w:t xml:space="preserve"> </w:t>
      </w:r>
      <w:r w:rsidRPr="007C5E58">
        <w:t>as</w:t>
      </w:r>
      <w:r>
        <w:t xml:space="preserve"> </w:t>
      </w:r>
      <w:r w:rsidRPr="007C5E58">
        <w:t>well,</w:t>
      </w:r>
      <w:r>
        <w:t xml:space="preserve"> </w:t>
      </w:r>
      <w:r w:rsidRPr="007C5E58">
        <w:t>like</w:t>
      </w:r>
      <w:r>
        <w:t xml:space="preserve"> </w:t>
      </w:r>
      <w:r w:rsidRPr="007C5E58">
        <w:t>some</w:t>
      </w:r>
      <w:r>
        <w:t xml:space="preserve"> </w:t>
      </w:r>
      <w:r w:rsidRPr="007C5E58">
        <w:t>predictions</w:t>
      </w:r>
      <w:r>
        <w:t xml:space="preserve"> </w:t>
      </w:r>
      <w:r w:rsidRPr="007C5E58">
        <w:t>being</w:t>
      </w:r>
      <w:r>
        <w:t xml:space="preserve"> </w:t>
      </w:r>
      <w:r w:rsidRPr="007C5E58">
        <w:t>off</w:t>
      </w:r>
      <w:r>
        <w:t xml:space="preserve"> </w:t>
      </w:r>
      <w:r w:rsidRPr="007C5E58">
        <w:t>by</w:t>
      </w:r>
      <w:r>
        <w:t xml:space="preserve"> </w:t>
      </w:r>
      <w:r w:rsidRPr="007C5E58">
        <w:t>a</w:t>
      </w:r>
      <w:r>
        <w:t xml:space="preserve"> </w:t>
      </w:r>
      <w:r w:rsidRPr="007C5E58">
        <w:t>larger</w:t>
      </w:r>
      <w:r>
        <w:t xml:space="preserve"> </w:t>
      </w:r>
      <w:r w:rsidRPr="007C5E58">
        <w:t>margin.</w:t>
      </w:r>
      <w:r>
        <w:t xml:space="preserve"> </w:t>
      </w:r>
      <w:r w:rsidRPr="007C5E58">
        <w:t>This</w:t>
      </w:r>
      <w:r>
        <w:t xml:space="preserve"> </w:t>
      </w:r>
      <w:r w:rsidRPr="007C5E58">
        <w:t>is</w:t>
      </w:r>
      <w:r>
        <w:t xml:space="preserve"> </w:t>
      </w:r>
      <w:r w:rsidRPr="007C5E58">
        <w:t>flagged</w:t>
      </w:r>
      <w:r>
        <w:t xml:space="preserve"> </w:t>
      </w:r>
      <w:r w:rsidRPr="007C5E58">
        <w:t>by</w:t>
      </w:r>
      <w:r>
        <w:t xml:space="preserve"> </w:t>
      </w:r>
      <w:r w:rsidRPr="007C5E58">
        <w:t>two</w:t>
      </w:r>
      <w:r>
        <w:t xml:space="preserve"> </w:t>
      </w:r>
      <w:r w:rsidRPr="007C5E58">
        <w:t>measures,</w:t>
      </w:r>
      <w:r>
        <w:t xml:space="preserve"> </w:t>
      </w:r>
      <w:r w:rsidRPr="007C5E58">
        <w:t>MAPE</w:t>
      </w:r>
      <w:r>
        <w:t xml:space="preserve"> </w:t>
      </w:r>
      <w:r w:rsidRPr="007C5E58">
        <w:t>and</w:t>
      </w:r>
      <w:r>
        <w:t xml:space="preserve"> </w:t>
      </w:r>
      <w:r w:rsidRPr="007C5E58">
        <w:t>MASE,</w:t>
      </w:r>
      <w:r>
        <w:t xml:space="preserve"> </w:t>
      </w:r>
      <w:r w:rsidRPr="007C5E58">
        <w:t>suggesting</w:t>
      </w:r>
      <w:r>
        <w:t xml:space="preserve"> </w:t>
      </w:r>
      <w:r w:rsidRPr="007C5E58">
        <w:t>that</w:t>
      </w:r>
      <w:r>
        <w:t xml:space="preserve"> </w:t>
      </w:r>
      <w:r w:rsidRPr="007C5E58">
        <w:t>the</w:t>
      </w:r>
      <w:r>
        <w:t xml:space="preserve"> </w:t>
      </w:r>
      <w:r w:rsidRPr="007C5E58">
        <w:t>model's</w:t>
      </w:r>
      <w:r>
        <w:t xml:space="preserve"> </w:t>
      </w:r>
      <w:r w:rsidRPr="007C5E58">
        <w:t>accuracy</w:t>
      </w:r>
      <w:r>
        <w:t xml:space="preserve"> </w:t>
      </w:r>
      <w:r w:rsidRPr="007C5E58">
        <w:t>isn't</w:t>
      </w:r>
      <w:r>
        <w:t xml:space="preserve"> </w:t>
      </w:r>
      <w:r w:rsidRPr="007C5E58">
        <w:t>consistent</w:t>
      </w:r>
      <w:r>
        <w:t xml:space="preserve"> </w:t>
      </w:r>
      <w:r w:rsidRPr="007C5E58">
        <w:t>across</w:t>
      </w:r>
      <w:r>
        <w:t xml:space="preserve"> </w:t>
      </w:r>
      <w:r w:rsidRPr="007C5E58">
        <w:t>all</w:t>
      </w:r>
      <w:r>
        <w:t xml:space="preserve"> </w:t>
      </w:r>
      <w:r w:rsidRPr="007C5E58">
        <w:t>cases</w:t>
      </w:r>
      <w:r>
        <w:t xml:space="preserve"> </w:t>
      </w:r>
      <w:r w:rsidRPr="007C5E58">
        <w:t>and</w:t>
      </w:r>
      <w:r>
        <w:t xml:space="preserve"> </w:t>
      </w:r>
      <w:r w:rsidRPr="007C5E58">
        <w:t>that</w:t>
      </w:r>
      <w:r>
        <w:t xml:space="preserve"> </w:t>
      </w:r>
      <w:r w:rsidRPr="007C5E58">
        <w:t>sometimes</w:t>
      </w:r>
      <w:r>
        <w:t xml:space="preserve"> </w:t>
      </w:r>
      <w:r w:rsidRPr="007C5E58">
        <w:t>it</w:t>
      </w:r>
      <w:r>
        <w:t xml:space="preserve"> </w:t>
      </w:r>
      <w:r w:rsidRPr="007C5E58">
        <w:t>might</w:t>
      </w:r>
      <w:r>
        <w:t xml:space="preserve"> </w:t>
      </w:r>
      <w:r w:rsidRPr="007C5E58">
        <w:t>not</w:t>
      </w:r>
      <w:r>
        <w:t xml:space="preserve"> </w:t>
      </w:r>
      <w:r w:rsidRPr="007C5E58">
        <w:t>do</w:t>
      </w:r>
      <w:r>
        <w:t xml:space="preserve"> </w:t>
      </w:r>
      <w:r w:rsidRPr="007C5E58">
        <w:t>better</w:t>
      </w:r>
      <w:r>
        <w:t xml:space="preserve"> </w:t>
      </w:r>
      <w:r w:rsidRPr="007C5E58">
        <w:t>than</w:t>
      </w:r>
      <w:r>
        <w:t xml:space="preserve"> </w:t>
      </w:r>
      <w:r w:rsidRPr="007C5E58">
        <w:t>a</w:t>
      </w:r>
      <w:r>
        <w:t xml:space="preserve"> </w:t>
      </w:r>
      <w:r w:rsidRPr="007C5E58">
        <w:t>simple</w:t>
      </w:r>
      <w:r>
        <w:t xml:space="preserve"> </w:t>
      </w:r>
      <w:r w:rsidRPr="007C5E58">
        <w:t>guess.</w:t>
      </w:r>
    </w:p>
    <w:p w14:paraId="15716B57" w14:textId="291995F5" w:rsidR="007C5E58" w:rsidRPr="007C5E58" w:rsidRDefault="007C5E58" w:rsidP="007C5E58">
      <w:pPr>
        <w:pStyle w:val="TTPParagraphothers"/>
        <w:ind w:firstLine="284"/>
      </w:pPr>
      <w:r w:rsidRPr="007C5E58">
        <w:t>In</w:t>
      </w:r>
      <w:r>
        <w:t xml:space="preserve"> </w:t>
      </w:r>
      <w:r w:rsidRPr="007C5E58">
        <w:t>simple</w:t>
      </w:r>
      <w:r>
        <w:t xml:space="preserve"> </w:t>
      </w:r>
      <w:r w:rsidRPr="007C5E58">
        <w:t>terms,</w:t>
      </w:r>
      <w:r>
        <w:t xml:space="preserve"> </w:t>
      </w:r>
      <w:r w:rsidRPr="007C5E58">
        <w:t>the</w:t>
      </w:r>
      <w:r>
        <w:t xml:space="preserve"> </w:t>
      </w:r>
      <w:r w:rsidRPr="007C5E58">
        <w:t>model</w:t>
      </w:r>
      <w:r>
        <w:t xml:space="preserve"> </w:t>
      </w:r>
      <w:r w:rsidRPr="007C5E58">
        <w:t>really</w:t>
      </w:r>
      <w:r>
        <w:t xml:space="preserve"> </w:t>
      </w:r>
      <w:r w:rsidRPr="007C5E58">
        <w:t>highlights</w:t>
      </w:r>
      <w:r>
        <w:t xml:space="preserve"> </w:t>
      </w:r>
      <w:r w:rsidRPr="007C5E58">
        <w:t>how</w:t>
      </w:r>
      <w:r>
        <w:t xml:space="preserve"> </w:t>
      </w:r>
      <w:r w:rsidRPr="007C5E58">
        <w:t>much</w:t>
      </w:r>
      <w:r>
        <w:t xml:space="preserve"> </w:t>
      </w:r>
      <w:r w:rsidRPr="007C5E58">
        <w:t>housing</w:t>
      </w:r>
      <w:r>
        <w:t xml:space="preserve"> </w:t>
      </w:r>
      <w:r w:rsidRPr="007C5E58">
        <w:t>sales</w:t>
      </w:r>
      <w:r>
        <w:t xml:space="preserve"> </w:t>
      </w:r>
      <w:r w:rsidRPr="007C5E58">
        <w:t>can</w:t>
      </w:r>
      <w:r>
        <w:t xml:space="preserve"> </w:t>
      </w:r>
      <w:r w:rsidRPr="007C5E58">
        <w:t>impact</w:t>
      </w:r>
      <w:r>
        <w:t xml:space="preserve"> </w:t>
      </w:r>
      <w:r w:rsidRPr="007C5E58">
        <w:t>housing</w:t>
      </w:r>
      <w:r>
        <w:t xml:space="preserve"> </w:t>
      </w:r>
      <w:r w:rsidRPr="007C5E58">
        <w:t>investment</w:t>
      </w:r>
      <w:r>
        <w:t xml:space="preserve"> </w:t>
      </w:r>
      <w:r w:rsidRPr="007C5E58">
        <w:t>and</w:t>
      </w:r>
      <w:r>
        <w:t xml:space="preserve"> </w:t>
      </w:r>
      <w:r w:rsidRPr="007C5E58">
        <w:t>points</w:t>
      </w:r>
      <w:r>
        <w:t xml:space="preserve"> </w:t>
      </w:r>
      <w:r w:rsidRPr="007C5E58">
        <w:t>out</w:t>
      </w:r>
      <w:r>
        <w:t xml:space="preserve"> </w:t>
      </w:r>
      <w:r w:rsidRPr="007C5E58">
        <w:t>an</w:t>
      </w:r>
      <w:r>
        <w:t xml:space="preserve"> </w:t>
      </w:r>
      <w:r w:rsidRPr="007C5E58">
        <w:t>unexpected</w:t>
      </w:r>
      <w:r>
        <w:t xml:space="preserve"> </w:t>
      </w:r>
      <w:r w:rsidRPr="007C5E58">
        <w:t>effect</w:t>
      </w:r>
      <w:r>
        <w:t xml:space="preserve"> </w:t>
      </w:r>
      <w:r w:rsidRPr="007C5E58">
        <w:t>where</w:t>
      </w:r>
      <w:r>
        <w:t xml:space="preserve"> </w:t>
      </w:r>
      <w:r w:rsidRPr="007C5E58">
        <w:t>more</w:t>
      </w:r>
      <w:r>
        <w:t xml:space="preserve"> </w:t>
      </w:r>
      <w:r w:rsidRPr="007C5E58">
        <w:t>money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economy</w:t>
      </w:r>
      <w:r>
        <w:t xml:space="preserve"> </w:t>
      </w:r>
      <w:r w:rsidRPr="007C5E58">
        <w:t>might</w:t>
      </w:r>
      <w:r>
        <w:t xml:space="preserve"> </w:t>
      </w:r>
      <w:r w:rsidRPr="007C5E58">
        <w:t>lead</w:t>
      </w:r>
      <w:r>
        <w:t xml:space="preserve"> </w:t>
      </w:r>
      <w:r w:rsidRPr="007C5E58">
        <w:t>to</w:t>
      </w:r>
      <w:r>
        <w:t xml:space="preserve"> </w:t>
      </w:r>
      <w:r w:rsidRPr="007C5E58">
        <w:t>less</w:t>
      </w:r>
      <w:r>
        <w:t xml:space="preserve"> </w:t>
      </w:r>
      <w:r w:rsidRPr="007C5E58">
        <w:t>housing</w:t>
      </w:r>
      <w:r>
        <w:t xml:space="preserve"> </w:t>
      </w:r>
      <w:r w:rsidRPr="007C5E58">
        <w:t>investment.</w:t>
      </w:r>
      <w:r>
        <w:t xml:space="preserve"> </w:t>
      </w:r>
      <w:r w:rsidRPr="007C5E58">
        <w:t>While</w:t>
      </w:r>
      <w:r>
        <w:t xml:space="preserve"> </w:t>
      </w:r>
      <w:r w:rsidRPr="007C5E58">
        <w:t>the</w:t>
      </w:r>
      <w:r>
        <w:t xml:space="preserve"> </w:t>
      </w:r>
      <w:r w:rsidRPr="007C5E58">
        <w:t>model</w:t>
      </w:r>
      <w:r>
        <w:t xml:space="preserve"> </w:t>
      </w:r>
      <w:r w:rsidRPr="007C5E58">
        <w:t>is</w:t>
      </w:r>
      <w:r>
        <w:t xml:space="preserve"> </w:t>
      </w:r>
      <w:r w:rsidRPr="007C5E58">
        <w:t>good</w:t>
      </w:r>
      <w:r>
        <w:t xml:space="preserve"> </w:t>
      </w:r>
      <w:r w:rsidRPr="007C5E58">
        <w:t>at</w:t>
      </w:r>
      <w:r>
        <w:t xml:space="preserve"> </w:t>
      </w:r>
      <w:r w:rsidRPr="007C5E58">
        <w:t>following</w:t>
      </w:r>
      <w:r>
        <w:t xml:space="preserve"> </w:t>
      </w:r>
      <w:r w:rsidRPr="007C5E58">
        <w:t>past</w:t>
      </w:r>
      <w:r>
        <w:t xml:space="preserve"> </w:t>
      </w:r>
      <w:r w:rsidRPr="007C5E58">
        <w:t>trends,</w:t>
      </w:r>
      <w:r>
        <w:t xml:space="preserve"> </w:t>
      </w:r>
      <w:r w:rsidRPr="007C5E58">
        <w:t>the</w:t>
      </w:r>
      <w:r>
        <w:t xml:space="preserve"> </w:t>
      </w:r>
      <w:r w:rsidRPr="007C5E58">
        <w:t>issues</w:t>
      </w:r>
      <w:r>
        <w:t xml:space="preserve"> </w:t>
      </w:r>
      <w:r w:rsidRPr="007C5E58">
        <w:t>with</w:t>
      </w:r>
      <w:r>
        <w:t xml:space="preserve"> </w:t>
      </w:r>
      <w:r w:rsidRPr="007C5E58">
        <w:t>some</w:t>
      </w:r>
      <w:r>
        <w:t xml:space="preserve"> </w:t>
      </w:r>
      <w:r w:rsidRPr="007C5E58">
        <w:t>predictions</w:t>
      </w:r>
      <w:r>
        <w:t xml:space="preserve"> </w:t>
      </w:r>
      <w:r w:rsidRPr="007C5E58">
        <w:t>being</w:t>
      </w:r>
      <w:r>
        <w:t xml:space="preserve"> </w:t>
      </w:r>
      <w:r w:rsidRPr="007C5E58">
        <w:t>off</w:t>
      </w:r>
      <w:r>
        <w:t xml:space="preserve"> </w:t>
      </w:r>
      <w:r w:rsidRPr="007C5E58">
        <w:t>by</w:t>
      </w:r>
      <w:r>
        <w:t xml:space="preserve"> </w:t>
      </w:r>
      <w:r w:rsidRPr="007C5E58">
        <w:t>quite</w:t>
      </w:r>
      <w:r>
        <w:t xml:space="preserve"> </w:t>
      </w:r>
      <w:r w:rsidRPr="007C5E58">
        <w:t>a</w:t>
      </w:r>
      <w:r>
        <w:t xml:space="preserve"> </w:t>
      </w:r>
      <w:r w:rsidRPr="007C5E58">
        <w:t>bit</w:t>
      </w:r>
      <w:r>
        <w:t xml:space="preserve"> </w:t>
      </w:r>
      <w:r w:rsidRPr="007C5E58">
        <w:t>mean</w:t>
      </w:r>
      <w:r>
        <w:t xml:space="preserve"> </w:t>
      </w:r>
      <w:r w:rsidRPr="007C5E58">
        <w:t>this</w:t>
      </w:r>
      <w:r>
        <w:t xml:space="preserve"> </w:t>
      </w:r>
      <w:r w:rsidRPr="007C5E58">
        <w:t>paper</w:t>
      </w:r>
      <w:r>
        <w:t xml:space="preserve"> </w:t>
      </w:r>
      <w:r w:rsidRPr="007C5E58">
        <w:t>should</w:t>
      </w:r>
      <w:r>
        <w:t xml:space="preserve"> </w:t>
      </w:r>
      <w:r w:rsidRPr="007C5E58">
        <w:t>be</w:t>
      </w:r>
      <w:r>
        <w:t xml:space="preserve"> </w:t>
      </w:r>
      <w:r w:rsidRPr="007C5E58">
        <w:t>a</w:t>
      </w:r>
      <w:r>
        <w:t xml:space="preserve"> </w:t>
      </w:r>
      <w:r w:rsidRPr="007C5E58">
        <w:t>bit</w:t>
      </w:r>
      <w:r>
        <w:t xml:space="preserve"> </w:t>
      </w:r>
      <w:r w:rsidRPr="007C5E58">
        <w:t>careful</w:t>
      </w:r>
      <w:r>
        <w:t xml:space="preserve"> </w:t>
      </w:r>
      <w:r w:rsidRPr="007C5E58">
        <w:t>about</w:t>
      </w:r>
      <w:r>
        <w:t xml:space="preserve"> </w:t>
      </w:r>
      <w:r w:rsidRPr="007C5E58">
        <w:t>relying</w:t>
      </w:r>
      <w:r>
        <w:t xml:space="preserve"> </w:t>
      </w:r>
      <w:r w:rsidRPr="007C5E58">
        <w:t>on</w:t>
      </w:r>
      <w:r>
        <w:t xml:space="preserve"> </w:t>
      </w:r>
      <w:r w:rsidRPr="007C5E58">
        <w:t>it</w:t>
      </w:r>
      <w:r>
        <w:t xml:space="preserve"> </w:t>
      </w:r>
      <w:r w:rsidRPr="007C5E58">
        <w:t>without</w:t>
      </w:r>
      <w:r>
        <w:t xml:space="preserve"> </w:t>
      </w:r>
      <w:r w:rsidRPr="007C5E58">
        <w:t>considering</w:t>
      </w:r>
      <w:r>
        <w:t xml:space="preserve"> </w:t>
      </w:r>
      <w:r w:rsidRPr="007C5E58">
        <w:t>the</w:t>
      </w:r>
      <w:r>
        <w:t xml:space="preserve"> </w:t>
      </w:r>
      <w:r w:rsidRPr="007C5E58">
        <w:t>possibility</w:t>
      </w:r>
      <w:r>
        <w:t xml:space="preserve"> </w:t>
      </w:r>
      <w:r w:rsidRPr="007C5E58">
        <w:t>of</w:t>
      </w:r>
      <w:r>
        <w:t xml:space="preserve"> </w:t>
      </w:r>
      <w:r w:rsidRPr="007C5E58">
        <w:t>unusual</w:t>
      </w:r>
      <w:r>
        <w:t xml:space="preserve"> </w:t>
      </w:r>
      <w:r w:rsidRPr="007C5E58">
        <w:t>or</w:t>
      </w:r>
      <w:r>
        <w:t xml:space="preserve"> </w:t>
      </w:r>
      <w:r w:rsidRPr="007C5E58">
        <w:t>unexpected</w:t>
      </w:r>
      <w:r>
        <w:t xml:space="preserve"> </w:t>
      </w:r>
      <w:r w:rsidRPr="007C5E58">
        <w:t>changes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market.</w:t>
      </w:r>
    </w:p>
    <w:p w14:paraId="3B2F9BA2" w14:textId="7B91EF38" w:rsidR="007C5E58" w:rsidRPr="007C5E58" w:rsidRDefault="007C5E58" w:rsidP="007C5E58">
      <w:pPr>
        <w:pStyle w:val="2"/>
        <w:numPr>
          <w:ilvl w:val="1"/>
          <w:numId w:val="9"/>
        </w:numPr>
        <w:ind w:left="420" w:hanging="420"/>
      </w:pPr>
      <w:r w:rsidRPr="007C5E58">
        <w:t>Forecast</w:t>
      </w:r>
      <w:r>
        <w:t xml:space="preserve"> </w:t>
      </w:r>
      <w:r w:rsidRPr="007C5E58">
        <w:t>for</w:t>
      </w:r>
      <w:r>
        <w:t xml:space="preserve"> </w:t>
      </w:r>
      <w:r w:rsidRPr="007C5E58">
        <w:t>Independent</w:t>
      </w:r>
      <w:r>
        <w:t xml:space="preserve"> </w:t>
      </w:r>
      <w:r w:rsidRPr="007C5E58">
        <w:t>Variables</w:t>
      </w:r>
    </w:p>
    <w:p w14:paraId="2C726414" w14:textId="4C0E2C7F" w:rsidR="007C5E58" w:rsidRPr="007C5E58" w:rsidRDefault="007C5E58" w:rsidP="007C5E58">
      <w:pPr>
        <w:pStyle w:val="TTPParagraphothers"/>
        <w:ind w:firstLine="284"/>
      </w:pPr>
      <w:r w:rsidRPr="007C5E58">
        <w:t>For</w:t>
      </w:r>
      <w:r>
        <w:t xml:space="preserve"> </w:t>
      </w:r>
      <w:r w:rsidRPr="007C5E58">
        <w:t>next</w:t>
      </w:r>
      <w:r>
        <w:t xml:space="preserve"> </w:t>
      </w:r>
      <w:r w:rsidRPr="007C5E58">
        <w:t>step,</w:t>
      </w:r>
      <w:r>
        <w:t xml:space="preserve"> </w:t>
      </w:r>
      <w:r w:rsidRPr="007C5E58">
        <w:t>this</w:t>
      </w:r>
      <w:r>
        <w:t xml:space="preserve"> </w:t>
      </w:r>
      <w:r w:rsidRPr="007C5E58">
        <w:t>paper</w:t>
      </w:r>
      <w:r>
        <w:t xml:space="preserve"> </w:t>
      </w:r>
      <w:r w:rsidRPr="007C5E58">
        <w:t>proceeded</w:t>
      </w:r>
      <w:r>
        <w:t xml:space="preserve"> </w:t>
      </w:r>
      <w:r w:rsidRPr="007C5E58">
        <w:t>to</w:t>
      </w:r>
      <w:r>
        <w:t xml:space="preserve"> </w:t>
      </w:r>
      <w:r w:rsidRPr="007C5E58">
        <w:t>forecast</w:t>
      </w:r>
      <w:r>
        <w:t xml:space="preserve"> </w:t>
      </w:r>
      <w:r w:rsidRPr="007C5E58">
        <w:t>the</w:t>
      </w:r>
      <w:r>
        <w:t xml:space="preserve"> </w:t>
      </w:r>
      <w:r w:rsidRPr="007C5E58">
        <w:t>independent</w:t>
      </w:r>
      <w:r>
        <w:t xml:space="preserve"> </w:t>
      </w:r>
      <w:r w:rsidRPr="007C5E58">
        <w:t>variables,</w:t>
      </w:r>
      <w:r>
        <w:t xml:space="preserve"> </w:t>
      </w:r>
      <w:r w:rsidRPr="007C5E58">
        <w:t>employing</w:t>
      </w:r>
      <w:r>
        <w:t xml:space="preserve"> </w:t>
      </w:r>
      <w:r w:rsidRPr="007C5E58">
        <w:t>various</w:t>
      </w:r>
      <w:r>
        <w:t xml:space="preserve"> </w:t>
      </w:r>
      <w:r w:rsidRPr="007C5E58">
        <w:t>forecasting</w:t>
      </w:r>
      <w:r>
        <w:t xml:space="preserve"> </w:t>
      </w:r>
      <w:r w:rsidRPr="007C5E58">
        <w:t>methods</w:t>
      </w:r>
      <w:r>
        <w:t xml:space="preserve"> </w:t>
      </w:r>
      <w:r w:rsidRPr="007C5E58">
        <w:t>including</w:t>
      </w:r>
      <w:r>
        <w:t xml:space="preserve"> </w:t>
      </w:r>
      <w:r w:rsidRPr="007C5E58">
        <w:t>the</w:t>
      </w:r>
      <w:r>
        <w:t xml:space="preserve"> </w:t>
      </w:r>
      <w:r w:rsidRPr="007C5E58">
        <w:t>mean</w:t>
      </w:r>
      <w:r>
        <w:t xml:space="preserve"> </w:t>
      </w:r>
      <w:r w:rsidRPr="007C5E58">
        <w:t>method,</w:t>
      </w:r>
      <w:r>
        <w:t xml:space="preserve"> </w:t>
      </w:r>
      <w:r w:rsidRPr="007C5E58">
        <w:t>naive</w:t>
      </w:r>
      <w:r>
        <w:t xml:space="preserve"> </w:t>
      </w:r>
      <w:r w:rsidRPr="007C5E58">
        <w:t>method,</w:t>
      </w:r>
      <w:r>
        <w:t xml:space="preserve"> </w:t>
      </w:r>
      <w:r w:rsidRPr="007C5E58">
        <w:t>seasonal</w:t>
      </w:r>
      <w:r>
        <w:t xml:space="preserve"> </w:t>
      </w:r>
      <w:r w:rsidRPr="007C5E58">
        <w:t>naive</w:t>
      </w:r>
      <w:r>
        <w:t xml:space="preserve"> </w:t>
      </w:r>
      <w:r w:rsidRPr="007C5E58">
        <w:t>method,</w:t>
      </w:r>
      <w:r>
        <w:t xml:space="preserve"> </w:t>
      </w:r>
      <w:r w:rsidRPr="007C5E58">
        <w:t>random</w:t>
      </w:r>
      <w:r>
        <w:t xml:space="preserve"> </w:t>
      </w:r>
      <w:r w:rsidRPr="007C5E58">
        <w:t>walk</w:t>
      </w:r>
      <w:r>
        <w:t xml:space="preserve"> </w:t>
      </w:r>
      <w:r w:rsidRPr="007C5E58">
        <w:t>with</w:t>
      </w:r>
      <w:r>
        <w:t xml:space="preserve"> </w:t>
      </w:r>
      <w:r w:rsidRPr="007C5E58">
        <w:t>drift</w:t>
      </w:r>
      <w:r>
        <w:t xml:space="preserve"> </w:t>
      </w:r>
      <w:r w:rsidRPr="007C5E58">
        <w:t>model,</w:t>
      </w:r>
      <w:r>
        <w:t xml:space="preserve"> </w:t>
      </w:r>
      <w:r w:rsidRPr="007C5E58">
        <w:t>Holt's</w:t>
      </w:r>
      <w:r>
        <w:t xml:space="preserve"> </w:t>
      </w:r>
      <w:r w:rsidRPr="007C5E58">
        <w:t>method,</w:t>
      </w:r>
      <w:r>
        <w:t xml:space="preserve"> </w:t>
      </w:r>
      <w:r w:rsidRPr="007C5E58">
        <w:t>Holt's</w:t>
      </w:r>
      <w:r>
        <w:t xml:space="preserve"> </w:t>
      </w:r>
      <w:r w:rsidRPr="007C5E58">
        <w:t>damped</w:t>
      </w:r>
      <w:r>
        <w:t xml:space="preserve"> </w:t>
      </w:r>
      <w:r w:rsidRPr="007C5E58">
        <w:t>method,</w:t>
      </w:r>
      <w:r>
        <w:t xml:space="preserve"> </w:t>
      </w:r>
      <w:r w:rsidRPr="007C5E58">
        <w:t>and</w:t>
      </w:r>
      <w:r>
        <w:t xml:space="preserve"> </w:t>
      </w:r>
      <w:r w:rsidRPr="007C5E58">
        <w:t>the</w:t>
      </w:r>
      <w:r>
        <w:t xml:space="preserve"> </w:t>
      </w:r>
      <w:r w:rsidRPr="007C5E58">
        <w:t>simple</w:t>
      </w:r>
      <w:r>
        <w:t xml:space="preserve"> </w:t>
      </w:r>
      <w:r w:rsidRPr="007C5E58">
        <w:t>exponential</w:t>
      </w:r>
      <w:r>
        <w:t xml:space="preserve"> </w:t>
      </w:r>
      <w:r w:rsidRPr="007C5E58">
        <w:t>smoothing</w:t>
      </w:r>
      <w:r>
        <w:t xml:space="preserve"> </w:t>
      </w:r>
      <w:r w:rsidRPr="007C5E58">
        <w:t>model.</w:t>
      </w:r>
      <w:r>
        <w:t xml:space="preserve"> </w:t>
      </w:r>
      <w:r w:rsidRPr="007C5E58">
        <w:t>The</w:t>
      </w:r>
      <w:r>
        <w:t xml:space="preserve"> </w:t>
      </w:r>
      <w:r w:rsidRPr="007C5E58">
        <w:t>author</w:t>
      </w:r>
      <w:r>
        <w:t xml:space="preserve"> </w:t>
      </w:r>
      <w:r w:rsidRPr="007C5E58">
        <w:t>conducted</w:t>
      </w:r>
      <w:r>
        <w:t xml:space="preserve"> </w:t>
      </w:r>
      <w:r w:rsidRPr="007C5E58">
        <w:t>an</w:t>
      </w:r>
      <w:r>
        <w:t xml:space="preserve"> </w:t>
      </w:r>
      <w:r w:rsidRPr="007C5E58">
        <w:t>11-month</w:t>
      </w:r>
      <w:r>
        <w:t xml:space="preserve"> </w:t>
      </w:r>
      <w:r w:rsidRPr="007C5E58">
        <w:t>forecast</w:t>
      </w:r>
      <w:r>
        <w:t xml:space="preserve"> </w:t>
      </w:r>
      <w:r w:rsidRPr="007C5E58">
        <w:t>for</w:t>
      </w:r>
      <w:r>
        <w:t xml:space="preserve"> </w:t>
      </w:r>
      <w:r w:rsidRPr="007C5E58">
        <w:t>the</w:t>
      </w:r>
      <w:r>
        <w:t xml:space="preserve"> </w:t>
      </w:r>
      <w:r w:rsidRPr="007C5E58">
        <w:t>five</w:t>
      </w:r>
      <w:r>
        <w:t xml:space="preserve"> </w:t>
      </w:r>
      <w:r w:rsidRPr="007C5E58">
        <w:t>variables</w:t>
      </w:r>
      <w:r>
        <w:t xml:space="preserve"> </w:t>
      </w:r>
      <w:r w:rsidRPr="007C5E58">
        <w:t>and</w:t>
      </w:r>
      <w:r>
        <w:t xml:space="preserve"> </w:t>
      </w:r>
      <w:r w:rsidRPr="007C5E58">
        <w:t>assessed</w:t>
      </w:r>
      <w:r>
        <w:t xml:space="preserve"> </w:t>
      </w:r>
      <w:r w:rsidRPr="007C5E58">
        <w:t>their</w:t>
      </w:r>
      <w:r>
        <w:t xml:space="preserve"> </w:t>
      </w:r>
      <w:r w:rsidRPr="007C5E58">
        <w:t>accuracy</w:t>
      </w:r>
      <w:r>
        <w:t xml:space="preserve"> </w:t>
      </w:r>
      <w:r w:rsidRPr="007C5E58">
        <w:t>to</w:t>
      </w:r>
      <w:r>
        <w:t xml:space="preserve"> </w:t>
      </w:r>
      <w:r w:rsidRPr="007C5E58">
        <w:t>select</w:t>
      </w:r>
      <w:r>
        <w:t xml:space="preserve"> </w:t>
      </w:r>
      <w:r w:rsidRPr="007C5E58">
        <w:t>the</w:t>
      </w:r>
      <w:r>
        <w:t xml:space="preserve"> </w:t>
      </w:r>
      <w:r w:rsidRPr="007C5E58">
        <w:t>most</w:t>
      </w:r>
      <w:r>
        <w:t xml:space="preserve"> </w:t>
      </w:r>
      <w:r w:rsidRPr="007C5E58">
        <w:t>suitable</w:t>
      </w:r>
      <w:r>
        <w:t xml:space="preserve"> </w:t>
      </w:r>
      <w:r w:rsidRPr="007C5E58">
        <w:t>forecasting</w:t>
      </w:r>
      <w:r>
        <w:t xml:space="preserve"> </w:t>
      </w:r>
      <w:r w:rsidRPr="007C5E58">
        <w:t>model.</w:t>
      </w:r>
      <w:r>
        <w:t xml:space="preserve"> </w:t>
      </w:r>
      <w:r w:rsidRPr="007C5E58">
        <w:t>The</w:t>
      </w:r>
      <w:r>
        <w:t xml:space="preserve"> </w:t>
      </w:r>
      <w:r w:rsidRPr="007C5E58">
        <w:t>forecasts</w:t>
      </w:r>
      <w:r>
        <w:t xml:space="preserve"> </w:t>
      </w:r>
      <w:r w:rsidRPr="007C5E58">
        <w:t>were</w:t>
      </w:r>
      <w:r>
        <w:t xml:space="preserve"> </w:t>
      </w:r>
      <w:r w:rsidRPr="007C5E58">
        <w:t>then</w:t>
      </w:r>
      <w:r>
        <w:t xml:space="preserve"> </w:t>
      </w:r>
      <w:r w:rsidRPr="007C5E58">
        <w:t>incorporated</w:t>
      </w:r>
      <w:r>
        <w:t xml:space="preserve"> </w:t>
      </w:r>
      <w:r w:rsidRPr="007C5E58">
        <w:t>back</w:t>
      </w:r>
      <w:r>
        <w:t xml:space="preserve"> </w:t>
      </w:r>
      <w:r w:rsidRPr="007C5E58">
        <w:t>into</w:t>
      </w:r>
      <w:r>
        <w:t xml:space="preserve"> </w:t>
      </w:r>
      <w:r w:rsidRPr="007C5E58">
        <w:t>this</w:t>
      </w:r>
      <w:r>
        <w:t xml:space="preserve"> </w:t>
      </w:r>
      <w:r w:rsidRPr="007C5E58">
        <w:t>paper’s</w:t>
      </w:r>
      <w:r>
        <w:t xml:space="preserve"> </w:t>
      </w:r>
      <w:r w:rsidRPr="007C5E58">
        <w:t>dynamic</w:t>
      </w:r>
      <w:r>
        <w:t xml:space="preserve"> </w:t>
      </w:r>
      <w:r w:rsidRPr="007C5E58">
        <w:t>model.</w:t>
      </w:r>
    </w:p>
    <w:p w14:paraId="3B761F05" w14:textId="1DBC218C" w:rsidR="007C5E58" w:rsidRPr="007C5E58" w:rsidRDefault="007C5E58" w:rsidP="007C5E58">
      <w:pPr>
        <w:pStyle w:val="TTPParagraphothers"/>
        <w:ind w:firstLine="284"/>
      </w:pPr>
      <w:r w:rsidRPr="007C5E58">
        <w:t>In</w:t>
      </w:r>
      <w:r>
        <w:t xml:space="preserve"> </w:t>
      </w:r>
      <w:r w:rsidRPr="007C5E58">
        <w:t>predicting</w:t>
      </w:r>
      <w:r>
        <w:t xml:space="preserve"> </w:t>
      </w:r>
      <w:r w:rsidRPr="007C5E58">
        <w:t>the</w:t>
      </w:r>
      <w:r>
        <w:t xml:space="preserve"> </w:t>
      </w:r>
      <w:r w:rsidRPr="007C5E58">
        <w:t>log</w:t>
      </w:r>
      <w:r>
        <w:t xml:space="preserve"> </w:t>
      </w:r>
      <w:r w:rsidRPr="007C5E58">
        <w:t>difference</w:t>
      </w:r>
      <w:r>
        <w:t xml:space="preserve"> </w:t>
      </w:r>
      <w:r w:rsidRPr="007C5E58">
        <w:t>of</w:t>
      </w:r>
      <w:r>
        <w:t xml:space="preserve"> </w:t>
      </w:r>
      <w:r w:rsidRPr="007C5E58">
        <w:t>steel</w:t>
      </w:r>
      <w:r>
        <w:t xml:space="preserve"> </w:t>
      </w:r>
      <w:r w:rsidRPr="007C5E58">
        <w:t>production,</w:t>
      </w:r>
      <w:r>
        <w:t xml:space="preserve"> </w:t>
      </w:r>
      <w:r w:rsidRPr="007C5E58">
        <w:t>concrete</w:t>
      </w:r>
      <w:r>
        <w:t xml:space="preserve"> </w:t>
      </w:r>
      <w:r w:rsidRPr="007C5E58">
        <w:t>production,</w:t>
      </w:r>
      <w:r>
        <w:t xml:space="preserve"> </w:t>
      </w:r>
      <w:r w:rsidRPr="007C5E58">
        <w:t>M2</w:t>
      </w:r>
      <w:r>
        <w:t xml:space="preserve"> </w:t>
      </w:r>
      <w:r w:rsidRPr="007C5E58">
        <w:t>supply,</w:t>
      </w:r>
      <w:r>
        <w:t xml:space="preserve"> </w:t>
      </w:r>
      <w:r w:rsidRPr="007C5E58">
        <w:t>and</w:t>
      </w:r>
      <w:r>
        <w:t xml:space="preserve"> </w:t>
      </w:r>
      <w:r w:rsidRPr="007C5E58">
        <w:t>housing</w:t>
      </w:r>
      <w:r>
        <w:t xml:space="preserve"> </w:t>
      </w:r>
      <w:r w:rsidRPr="007C5E58">
        <w:t>sales,</w:t>
      </w:r>
      <w:r>
        <w:t xml:space="preserve"> </w:t>
      </w:r>
      <w:r w:rsidRPr="007C5E58">
        <w:t>the</w:t>
      </w:r>
      <w:r>
        <w:t xml:space="preserve"> </w:t>
      </w:r>
      <w:r w:rsidRPr="007C5E58">
        <w:t>seasonal</w:t>
      </w:r>
      <w:r>
        <w:t xml:space="preserve"> </w:t>
      </w:r>
      <w:r w:rsidRPr="007C5E58">
        <w:t>naive</w:t>
      </w:r>
      <w:r>
        <w:t xml:space="preserve"> </w:t>
      </w:r>
      <w:r w:rsidRPr="007C5E58">
        <w:t>method</w:t>
      </w:r>
      <w:r>
        <w:t xml:space="preserve"> </w:t>
      </w:r>
      <w:r w:rsidRPr="007C5E58">
        <w:t>emerged</w:t>
      </w:r>
      <w:r>
        <w:t xml:space="preserve"> </w:t>
      </w:r>
      <w:r w:rsidRPr="007C5E58">
        <w:t>as</w:t>
      </w:r>
      <w:r>
        <w:t xml:space="preserve"> </w:t>
      </w:r>
      <w:r w:rsidRPr="007C5E58">
        <w:t>the</w:t>
      </w:r>
      <w:r>
        <w:t xml:space="preserve"> </w:t>
      </w:r>
      <w:r w:rsidRPr="007C5E58">
        <w:t>most</w:t>
      </w:r>
      <w:r>
        <w:t xml:space="preserve"> </w:t>
      </w:r>
      <w:r w:rsidRPr="007C5E58">
        <w:t>accurate,</w:t>
      </w:r>
      <w:r>
        <w:t xml:space="preserve"> </w:t>
      </w:r>
      <w:r w:rsidRPr="007C5E58">
        <w:t>yielding</w:t>
      </w:r>
      <w:r>
        <w:t xml:space="preserve"> </w:t>
      </w:r>
      <w:r w:rsidRPr="007C5E58">
        <w:t>the</w:t>
      </w:r>
      <w:r>
        <w:t xml:space="preserve"> </w:t>
      </w:r>
      <w:r w:rsidRPr="007C5E58">
        <w:t>lowest</w:t>
      </w:r>
      <w:r>
        <w:t xml:space="preserve"> </w:t>
      </w:r>
      <w:r w:rsidRPr="007C5E58">
        <w:t>RMSE</w:t>
      </w:r>
      <w:r>
        <w:t xml:space="preserve"> </w:t>
      </w:r>
      <w:r w:rsidRPr="007C5E58">
        <w:t>values</w:t>
      </w:r>
      <w:r>
        <w:t xml:space="preserve"> </w:t>
      </w:r>
      <w:r w:rsidRPr="007C5E58">
        <w:t>of</w:t>
      </w:r>
      <w:r>
        <w:t xml:space="preserve"> </w:t>
      </w:r>
      <w:r w:rsidRPr="007C5E58">
        <w:t>0.05162,</w:t>
      </w:r>
      <w:r>
        <w:t xml:space="preserve"> </w:t>
      </w:r>
      <w:r w:rsidRPr="007C5E58">
        <w:t>0.1350374,</w:t>
      </w:r>
      <w:r>
        <w:t xml:space="preserve"> </w:t>
      </w:r>
      <w:r w:rsidRPr="007C5E58">
        <w:t>0.00909209,</w:t>
      </w:r>
      <w:r>
        <w:t xml:space="preserve"> </w:t>
      </w:r>
      <w:r w:rsidRPr="007C5E58">
        <w:t>and</w:t>
      </w:r>
      <w:r>
        <w:t xml:space="preserve"> </w:t>
      </w:r>
      <w:r w:rsidRPr="007C5E58">
        <w:t>0.1070252,</w:t>
      </w:r>
      <w:r>
        <w:t xml:space="preserve"> </w:t>
      </w:r>
      <w:r w:rsidRPr="007C5E58">
        <w:t>respectively.</w:t>
      </w:r>
      <w:r>
        <w:t xml:space="preserve"> </w:t>
      </w:r>
      <w:r w:rsidRPr="007C5E58">
        <w:t>For</w:t>
      </w:r>
      <w:r>
        <w:t xml:space="preserve"> </w:t>
      </w:r>
      <w:r w:rsidRPr="007C5E58">
        <w:t>the</w:t>
      </w:r>
      <w:r>
        <w:t xml:space="preserve"> </w:t>
      </w:r>
      <w:r w:rsidRPr="007C5E58">
        <w:t>log</w:t>
      </w:r>
      <w:r>
        <w:t xml:space="preserve"> </w:t>
      </w:r>
      <w:r w:rsidRPr="007C5E58">
        <w:t>difference</w:t>
      </w:r>
      <w:r>
        <w:t xml:space="preserve"> </w:t>
      </w:r>
      <w:r w:rsidRPr="007C5E58">
        <w:t>of</w:t>
      </w:r>
      <w:r>
        <w:t xml:space="preserve"> </w:t>
      </w:r>
      <w:r w:rsidRPr="007C5E58">
        <w:t>aluminum</w:t>
      </w:r>
      <w:r>
        <w:t xml:space="preserve"> </w:t>
      </w:r>
      <w:r w:rsidRPr="007C5E58">
        <w:t>production,</w:t>
      </w:r>
      <w:r>
        <w:t xml:space="preserve"> </w:t>
      </w:r>
      <w:r w:rsidRPr="007C5E58">
        <w:t>Holt's</w:t>
      </w:r>
      <w:r>
        <w:t xml:space="preserve"> </w:t>
      </w:r>
      <w:r w:rsidRPr="007C5E58">
        <w:t>damped</w:t>
      </w:r>
      <w:r>
        <w:t xml:space="preserve"> </w:t>
      </w:r>
      <w:r w:rsidRPr="007C5E58">
        <w:t>method</w:t>
      </w:r>
      <w:r>
        <w:t xml:space="preserve"> </w:t>
      </w:r>
      <w:r w:rsidRPr="007C5E58">
        <w:t>demonstrated</w:t>
      </w:r>
      <w:r>
        <w:t xml:space="preserve"> </w:t>
      </w:r>
      <w:r w:rsidRPr="007C5E58">
        <w:t>the</w:t>
      </w:r>
      <w:r>
        <w:t xml:space="preserve"> </w:t>
      </w:r>
      <w:r w:rsidRPr="007C5E58">
        <w:t>lowest</w:t>
      </w:r>
      <w:r>
        <w:t xml:space="preserve"> </w:t>
      </w:r>
      <w:r w:rsidRPr="007C5E58">
        <w:t>RMSE,</w:t>
      </w:r>
      <w:r>
        <w:t xml:space="preserve"> </w:t>
      </w:r>
      <w:r w:rsidRPr="007C5E58">
        <w:t>indicating</w:t>
      </w:r>
      <w:r>
        <w:t xml:space="preserve"> </w:t>
      </w:r>
      <w:r w:rsidRPr="007C5E58">
        <w:t>its</w:t>
      </w:r>
      <w:r>
        <w:t xml:space="preserve"> </w:t>
      </w:r>
      <w:r w:rsidRPr="007C5E58">
        <w:t>superior</w:t>
      </w:r>
      <w:r>
        <w:t xml:space="preserve"> </w:t>
      </w:r>
      <w:r w:rsidRPr="007C5E58">
        <w:t>predictive</w:t>
      </w:r>
      <w:r>
        <w:t xml:space="preserve"> </w:t>
      </w:r>
      <w:r w:rsidRPr="007C5E58">
        <w:t>performance</w:t>
      </w:r>
      <w:r>
        <w:t xml:space="preserve"> </w:t>
      </w:r>
      <w:r w:rsidRPr="007C5E58">
        <w:t>for</w:t>
      </w:r>
      <w:r>
        <w:t xml:space="preserve"> </w:t>
      </w:r>
      <w:r w:rsidRPr="007C5E58">
        <w:t>this</w:t>
      </w:r>
      <w:r>
        <w:t xml:space="preserve"> </w:t>
      </w:r>
      <w:r w:rsidRPr="007C5E58">
        <w:t>particular</w:t>
      </w:r>
      <w:r>
        <w:t xml:space="preserve"> </w:t>
      </w:r>
      <w:r w:rsidRPr="007C5E58">
        <w:t>variable.</w:t>
      </w:r>
      <w:r>
        <w:t xml:space="preserve"> </w:t>
      </w:r>
      <w:r w:rsidRPr="007C5E58">
        <w:t>Consequently,</w:t>
      </w:r>
      <w:r>
        <w:t xml:space="preserve"> </w:t>
      </w:r>
      <w:r w:rsidRPr="007C5E58">
        <w:t>the</w:t>
      </w:r>
      <w:r>
        <w:t xml:space="preserve"> </w:t>
      </w:r>
      <w:r w:rsidRPr="007C5E58">
        <w:t>author</w:t>
      </w:r>
      <w:r>
        <w:t xml:space="preserve"> </w:t>
      </w:r>
      <w:r w:rsidRPr="007C5E58">
        <w:t>selected</w:t>
      </w:r>
      <w:r>
        <w:t xml:space="preserve"> </w:t>
      </w:r>
      <w:r w:rsidRPr="007C5E58">
        <w:t>the</w:t>
      </w:r>
      <w:r>
        <w:t xml:space="preserve"> </w:t>
      </w:r>
      <w:r w:rsidRPr="007C5E58">
        <w:t>corresponding</w:t>
      </w:r>
      <w:r>
        <w:t xml:space="preserve"> </w:t>
      </w:r>
      <w:r w:rsidRPr="007C5E58">
        <w:t>forecast</w:t>
      </w:r>
      <w:r>
        <w:t xml:space="preserve"> </w:t>
      </w:r>
      <w:r w:rsidRPr="007C5E58">
        <w:t>data</w:t>
      </w:r>
      <w:r>
        <w:t xml:space="preserve"> </w:t>
      </w:r>
      <w:r w:rsidRPr="007C5E58">
        <w:t>as</w:t>
      </w:r>
      <w:r>
        <w:t xml:space="preserve"> </w:t>
      </w:r>
      <w:r w:rsidRPr="007C5E58">
        <w:t>the</w:t>
      </w:r>
      <w:r>
        <w:t xml:space="preserve"> </w:t>
      </w:r>
      <w:r w:rsidRPr="007C5E58">
        <w:t>predictive</w:t>
      </w:r>
      <w:r>
        <w:t xml:space="preserve"> </w:t>
      </w:r>
      <w:r w:rsidRPr="007C5E58">
        <w:t>inputs</w:t>
      </w:r>
      <w:r>
        <w:t xml:space="preserve"> </w:t>
      </w:r>
      <w:r w:rsidRPr="007C5E58">
        <w:t>for</w:t>
      </w:r>
      <w:r>
        <w:t xml:space="preserve"> </w:t>
      </w:r>
      <w:r w:rsidRPr="007C5E58">
        <w:t>the</w:t>
      </w:r>
      <w:r>
        <w:t xml:space="preserve"> </w:t>
      </w:r>
      <w:r w:rsidRPr="007C5E58">
        <w:t>dynamic</w:t>
      </w:r>
      <w:r>
        <w:t xml:space="preserve"> </w:t>
      </w:r>
      <w:r w:rsidRPr="007C5E58">
        <w:t>model</w:t>
      </w:r>
      <w:r>
        <w:t xml:space="preserve"> </w:t>
      </w:r>
      <w:r w:rsidRPr="007C5E58">
        <w:t>(Table</w:t>
      </w:r>
      <w:r>
        <w:t xml:space="preserve"> </w:t>
      </w:r>
      <w:r w:rsidRPr="007C5E58">
        <w:t>2).</w:t>
      </w:r>
    </w:p>
    <w:p w14:paraId="0A658ABE" w14:textId="77777777" w:rsidR="00A12D89" w:rsidRDefault="00A12D89" w:rsidP="007C5E58">
      <w:pPr>
        <w:pStyle w:val="TTPParagraphothers"/>
        <w:spacing w:before="60" w:after="60"/>
        <w:ind w:firstLine="0"/>
        <w:jc w:val="center"/>
        <w:rPr>
          <w:b/>
        </w:rPr>
      </w:pPr>
    </w:p>
    <w:p w14:paraId="2E299FCD" w14:textId="77777777" w:rsidR="00A12D89" w:rsidRDefault="00A12D89" w:rsidP="007C5E58">
      <w:pPr>
        <w:pStyle w:val="TTPParagraphothers"/>
        <w:spacing w:before="60" w:after="60"/>
        <w:ind w:firstLine="0"/>
        <w:jc w:val="center"/>
        <w:rPr>
          <w:b/>
        </w:rPr>
      </w:pPr>
    </w:p>
    <w:p w14:paraId="083FD70E" w14:textId="77777777" w:rsidR="00A12D89" w:rsidRDefault="00A12D89" w:rsidP="007C5E58">
      <w:pPr>
        <w:pStyle w:val="TTPParagraphothers"/>
        <w:spacing w:before="60" w:after="60"/>
        <w:ind w:firstLine="0"/>
        <w:jc w:val="center"/>
        <w:rPr>
          <w:b/>
        </w:rPr>
      </w:pPr>
    </w:p>
    <w:p w14:paraId="775A22A0" w14:textId="0DE43E89" w:rsidR="007C5E58" w:rsidRPr="007C5E58" w:rsidRDefault="007C5E58" w:rsidP="007C5E58">
      <w:pPr>
        <w:pStyle w:val="TTPParagraphothers"/>
        <w:spacing w:before="60" w:after="60"/>
        <w:ind w:firstLine="0"/>
        <w:jc w:val="center"/>
      </w:pPr>
      <w:r w:rsidRPr="007C5E58">
        <w:rPr>
          <w:b/>
        </w:rPr>
        <w:lastRenderedPageBreak/>
        <w:t>Table</w:t>
      </w:r>
      <w:r>
        <w:rPr>
          <w:b/>
        </w:rPr>
        <w:t xml:space="preserve"> </w:t>
      </w:r>
      <w:r w:rsidRPr="007C5E58">
        <w:rPr>
          <w:b/>
        </w:rPr>
        <w:t>2</w:t>
      </w:r>
      <w:r w:rsidRPr="007C5E58">
        <w:rPr>
          <w:b/>
          <w:bCs/>
          <w:lang w:eastAsia="zh-CN"/>
        </w:rPr>
        <w:t>.</w:t>
      </w:r>
      <w:r>
        <w:rPr>
          <w:b/>
          <w:bCs/>
        </w:rPr>
        <w:t xml:space="preserve"> </w:t>
      </w:r>
      <w:r w:rsidRPr="007C5E58">
        <w:t>Dynamic</w:t>
      </w:r>
      <w:r>
        <w:t xml:space="preserve"> </w:t>
      </w:r>
      <w:r w:rsidRPr="007C5E58">
        <w:t>model</w:t>
      </w:r>
      <w:r>
        <w:t xml:space="preserve"> </w:t>
      </w:r>
      <w:r w:rsidRPr="007C5E58">
        <w:t>variables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2"/>
        <w:gridCol w:w="940"/>
        <w:gridCol w:w="1914"/>
        <w:gridCol w:w="1613"/>
        <w:gridCol w:w="836"/>
        <w:gridCol w:w="2504"/>
      </w:tblGrid>
      <w:tr w:rsidR="007C5E58" w:rsidRPr="007C5E58" w14:paraId="5399398E" w14:textId="77777777" w:rsidTr="007C5E58">
        <w:trPr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7EF4F02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Model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2B6D55F" w14:textId="5DD74D19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Steel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B246898" w14:textId="27B5936C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Aluminum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ECD42D9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Concrete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38A3813" w14:textId="7BE559D1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M2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896286A" w14:textId="7AA0E8A4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Housing Sales</w:t>
            </w:r>
          </w:p>
        </w:tc>
      </w:tr>
      <w:tr w:rsidR="007C5E58" w:rsidRPr="007C5E58" w14:paraId="3648FAC8" w14:textId="77777777" w:rsidTr="007C5E58">
        <w:trPr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841EEA1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Mean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46C5B7F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BFEFC24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01BC539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0.17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469F4E0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FE3EEB3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0.77</w:t>
            </w:r>
          </w:p>
        </w:tc>
      </w:tr>
      <w:tr w:rsidR="007C5E58" w:rsidRPr="007C5E58" w14:paraId="7EF029C1" w14:textId="77777777" w:rsidTr="007C5E58">
        <w:trPr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8C99583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Naïve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87987AC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956BD75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0.12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FAF0188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0.26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7DA7196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2443D4B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1.21</w:t>
            </w:r>
          </w:p>
        </w:tc>
      </w:tr>
      <w:tr w:rsidR="007C5E58" w:rsidRPr="007C5E58" w14:paraId="182CEE21" w14:textId="77777777" w:rsidTr="007C5E58">
        <w:trPr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E7EC434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S-naïve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039D8BB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63C4F9C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2C6C6B2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0.14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EC18F41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2A17C5D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0.1</w:t>
            </w:r>
          </w:p>
        </w:tc>
      </w:tr>
      <w:tr w:rsidR="007C5E58" w:rsidRPr="007C5E58" w14:paraId="7C8FF562" w14:textId="77777777" w:rsidTr="007C5E58">
        <w:trPr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EB82283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RWFDrift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910A9BF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0.09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F4CDA08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0.08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2552FFC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0.26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1EB088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9675761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1.21</w:t>
            </w:r>
          </w:p>
        </w:tc>
      </w:tr>
      <w:tr w:rsidR="007C5E58" w:rsidRPr="007C5E58" w14:paraId="5372FC42" w14:textId="77777777" w:rsidTr="007C5E58">
        <w:trPr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9C5A5F1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Holt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E7BD368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F6A3A37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9480627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0.17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B20EC85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91E88CC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0.79</w:t>
            </w:r>
          </w:p>
        </w:tc>
      </w:tr>
      <w:tr w:rsidR="007C5E58" w:rsidRPr="007C5E58" w14:paraId="4BD5CD56" w14:textId="77777777" w:rsidTr="007C5E58">
        <w:trPr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D445D5E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Holt-Drift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2BEE6D8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0AAC483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241997A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0.17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9A9A686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C664E48" w14:textId="77777777" w:rsidR="007C5E58" w:rsidRPr="007C5E58" w:rsidRDefault="007C5E58" w:rsidP="007C5E58">
            <w:pPr>
              <w:widowControl w:val="0"/>
              <w:jc w:val="center"/>
              <w:rPr>
                <w:sz w:val="22"/>
                <w:szCs w:val="22"/>
              </w:rPr>
            </w:pPr>
            <w:r w:rsidRPr="007C5E58">
              <w:rPr>
                <w:sz w:val="22"/>
                <w:szCs w:val="22"/>
              </w:rPr>
              <w:t>0.78</w:t>
            </w:r>
          </w:p>
        </w:tc>
      </w:tr>
    </w:tbl>
    <w:p w14:paraId="02C473CE" w14:textId="77777777" w:rsidR="007C5E58" w:rsidRPr="007C5E58" w:rsidRDefault="007C5E58" w:rsidP="007C5E58"/>
    <w:p w14:paraId="64334A63" w14:textId="36CB7EC8" w:rsidR="007C5E58" w:rsidRPr="007C5E58" w:rsidRDefault="007C5E58" w:rsidP="007C5E58">
      <w:pPr>
        <w:pStyle w:val="2"/>
        <w:numPr>
          <w:ilvl w:val="1"/>
          <w:numId w:val="9"/>
        </w:numPr>
        <w:ind w:left="420" w:hanging="420"/>
      </w:pPr>
      <w:r w:rsidRPr="007C5E58">
        <w:t>Model</w:t>
      </w:r>
      <w:r>
        <w:t xml:space="preserve"> </w:t>
      </w:r>
      <w:r w:rsidRPr="007C5E58">
        <w:t>Results</w:t>
      </w:r>
    </w:p>
    <w:p w14:paraId="1EB99241" w14:textId="7E6B2169" w:rsidR="007C5E58" w:rsidRPr="007C5E58" w:rsidRDefault="007C5E58" w:rsidP="007C5E58">
      <w:pPr>
        <w:pStyle w:val="TTPParagraphothers"/>
        <w:ind w:firstLine="284"/>
      </w:pPr>
      <w:r w:rsidRPr="007C5E58">
        <w:t>The</w:t>
      </w:r>
      <w:r>
        <w:t xml:space="preserve"> </w:t>
      </w:r>
      <w:r w:rsidRPr="007C5E58">
        <w:t>presented</w:t>
      </w:r>
      <w:r>
        <w:t xml:space="preserve"> </w:t>
      </w:r>
      <w:r w:rsidRPr="007C5E58">
        <w:t>graph</w:t>
      </w:r>
      <w:r>
        <w:t xml:space="preserve"> </w:t>
      </w:r>
      <w:r w:rsidRPr="007C5E58">
        <w:t>elucidates</w:t>
      </w:r>
      <w:r>
        <w:t xml:space="preserve"> </w:t>
      </w:r>
      <w:r w:rsidRPr="007C5E58">
        <w:t>the</w:t>
      </w:r>
      <w:r>
        <w:t xml:space="preserve"> </w:t>
      </w:r>
      <w:r w:rsidRPr="007C5E58">
        <w:t>time</w:t>
      </w:r>
      <w:r>
        <w:t xml:space="preserve"> </w:t>
      </w:r>
      <w:r w:rsidRPr="007C5E58">
        <w:t>series</w:t>
      </w:r>
      <w:r>
        <w:t xml:space="preserve"> </w:t>
      </w:r>
      <w:r w:rsidRPr="007C5E58">
        <w:t>forecast</w:t>
      </w:r>
      <w:r>
        <w:t xml:space="preserve"> </w:t>
      </w:r>
      <w:r w:rsidRPr="007C5E58">
        <w:t>for</w:t>
      </w:r>
      <w:r>
        <w:t xml:space="preserve"> </w:t>
      </w:r>
      <w:r w:rsidRPr="007C5E58">
        <w:t>housing</w:t>
      </w:r>
      <w:r>
        <w:t xml:space="preserve"> </w:t>
      </w:r>
      <w:r w:rsidRPr="007C5E58">
        <w:t>investment</w:t>
      </w:r>
      <w:r>
        <w:t xml:space="preserve"> </w:t>
      </w:r>
      <w:r w:rsidRPr="007C5E58">
        <w:t>in</w:t>
      </w:r>
      <w:r>
        <w:t xml:space="preserve"> </w:t>
      </w:r>
      <w:r w:rsidRPr="007C5E58">
        <w:t>China,</w:t>
      </w:r>
      <w:r>
        <w:t xml:space="preserve"> </w:t>
      </w:r>
      <w:r w:rsidRPr="007C5E58">
        <w:t>utilizing</w:t>
      </w:r>
      <w:r>
        <w:t xml:space="preserve"> </w:t>
      </w:r>
      <w:r w:rsidRPr="007C5E58">
        <w:t>a</w:t>
      </w:r>
      <w:r>
        <w:t xml:space="preserve"> </w:t>
      </w:r>
      <w:r w:rsidRPr="007C5E58">
        <w:t>dynamic</w:t>
      </w:r>
      <w:r>
        <w:t xml:space="preserve"> </w:t>
      </w:r>
      <w:r w:rsidRPr="007C5E58">
        <w:t>regression</w:t>
      </w:r>
      <w:r>
        <w:t xml:space="preserve"> </w:t>
      </w:r>
      <w:r w:rsidRPr="007C5E58">
        <w:t>model</w:t>
      </w:r>
      <w:r>
        <w:t xml:space="preserve"> </w:t>
      </w:r>
      <w:r w:rsidRPr="007C5E58">
        <w:t>enhanced</w:t>
      </w:r>
      <w:r>
        <w:t xml:space="preserve"> </w:t>
      </w:r>
      <w:r w:rsidRPr="007C5E58">
        <w:t>by</w:t>
      </w:r>
      <w:r>
        <w:t xml:space="preserve"> </w:t>
      </w:r>
      <w:r w:rsidRPr="007C5E58">
        <w:t>ARIMA</w:t>
      </w:r>
      <w:r>
        <w:t xml:space="preserve"> </w:t>
      </w:r>
      <w:r w:rsidRPr="007C5E58">
        <w:t>(1,</w:t>
      </w:r>
      <w:r>
        <w:rPr>
          <w:rFonts w:hint="eastAsia"/>
          <w:lang w:eastAsia="zh-CN"/>
        </w:rPr>
        <w:t xml:space="preserve"> </w:t>
      </w:r>
      <w:r w:rsidRPr="007C5E58">
        <w:t>0,</w:t>
      </w:r>
      <w:r>
        <w:rPr>
          <w:rFonts w:hint="eastAsia"/>
          <w:lang w:eastAsia="zh-CN"/>
        </w:rPr>
        <w:t xml:space="preserve"> </w:t>
      </w:r>
      <w:r w:rsidRPr="007C5E58">
        <w:t>0)</w:t>
      </w:r>
      <w:r>
        <w:rPr>
          <w:rFonts w:hint="eastAsia"/>
          <w:lang w:eastAsia="zh-CN"/>
        </w:rPr>
        <w:t xml:space="preserve"> </w:t>
      </w:r>
      <w:r w:rsidRPr="007C5E58">
        <w:t>(1,</w:t>
      </w:r>
      <w:r>
        <w:rPr>
          <w:rFonts w:hint="eastAsia"/>
          <w:lang w:eastAsia="zh-CN"/>
        </w:rPr>
        <w:t xml:space="preserve"> </w:t>
      </w:r>
      <w:r w:rsidRPr="007C5E58">
        <w:t>0,</w:t>
      </w:r>
      <w:r>
        <w:rPr>
          <w:rFonts w:hint="eastAsia"/>
          <w:lang w:eastAsia="zh-CN"/>
        </w:rPr>
        <w:t xml:space="preserve"> </w:t>
      </w:r>
      <w:r w:rsidRPr="007C5E58">
        <w:t>0)</w:t>
      </w:r>
      <w:r>
        <w:rPr>
          <w:rFonts w:hint="eastAsia"/>
          <w:lang w:eastAsia="zh-CN"/>
        </w:rPr>
        <w:t xml:space="preserve"> </w:t>
      </w:r>
      <w:r w:rsidRPr="007C5E58">
        <w:t>[11]</w:t>
      </w:r>
      <w:r>
        <w:t xml:space="preserve"> </w:t>
      </w:r>
      <w:r w:rsidRPr="007C5E58">
        <w:t>errors.</w:t>
      </w:r>
      <w:r>
        <w:t xml:space="preserve"> </w:t>
      </w:r>
      <w:r w:rsidRPr="007C5E58">
        <w:t>The</w:t>
      </w:r>
      <w:r>
        <w:t xml:space="preserve"> </w:t>
      </w:r>
      <w:r w:rsidRPr="007C5E58">
        <w:t>underlying</w:t>
      </w:r>
      <w:r>
        <w:t xml:space="preserve"> </w:t>
      </w:r>
      <w:r w:rsidRPr="007C5E58">
        <w:t>historical</w:t>
      </w:r>
      <w:r>
        <w:t xml:space="preserve"> </w:t>
      </w:r>
      <w:r w:rsidRPr="007C5E58">
        <w:t>data,</w:t>
      </w:r>
      <w:r>
        <w:t xml:space="preserve"> </w:t>
      </w:r>
      <w:r w:rsidRPr="007C5E58">
        <w:t>marked</w:t>
      </w:r>
      <w:r>
        <w:t xml:space="preserve"> </w:t>
      </w:r>
      <w:r w:rsidRPr="007C5E58">
        <w:t>by</w:t>
      </w:r>
      <w:r>
        <w:t xml:space="preserve"> </w:t>
      </w:r>
      <w:r w:rsidRPr="007C5E58">
        <w:t>the</w:t>
      </w:r>
      <w:r>
        <w:t xml:space="preserve"> </w:t>
      </w:r>
      <w:r w:rsidRPr="007C5E58">
        <w:t>black</w:t>
      </w:r>
      <w:r>
        <w:t xml:space="preserve"> </w:t>
      </w:r>
      <w:r w:rsidRPr="007C5E58">
        <w:t>line,</w:t>
      </w:r>
      <w:r>
        <w:t xml:space="preserve"> </w:t>
      </w:r>
      <w:r w:rsidRPr="007C5E58">
        <w:t>reveals</w:t>
      </w:r>
      <w:r>
        <w:t xml:space="preserve"> </w:t>
      </w:r>
      <w:r w:rsidRPr="007C5E58">
        <w:t>a</w:t>
      </w:r>
      <w:r>
        <w:t xml:space="preserve"> </w:t>
      </w:r>
      <w:r w:rsidRPr="007C5E58">
        <w:t>consistent</w:t>
      </w:r>
      <w:r>
        <w:t xml:space="preserve"> </w:t>
      </w:r>
      <w:r w:rsidRPr="007C5E58">
        <w:t>pattern</w:t>
      </w:r>
      <w:r>
        <w:t xml:space="preserve"> </w:t>
      </w:r>
      <w:r w:rsidRPr="007C5E58">
        <w:t>attributed</w:t>
      </w:r>
      <w:r>
        <w:t xml:space="preserve"> </w:t>
      </w:r>
      <w:r w:rsidRPr="007C5E58">
        <w:t>to</w:t>
      </w:r>
      <w:r>
        <w:t xml:space="preserve"> </w:t>
      </w:r>
      <w:r w:rsidRPr="007C5E58">
        <w:t>seasonal</w:t>
      </w:r>
      <w:r>
        <w:t xml:space="preserve"> </w:t>
      </w:r>
      <w:r w:rsidRPr="007C5E58">
        <w:t>influences,</w:t>
      </w:r>
      <w:r>
        <w:t xml:space="preserve"> </w:t>
      </w:r>
      <w:r w:rsidRPr="007C5E58">
        <w:t>which</w:t>
      </w:r>
      <w:r>
        <w:t xml:space="preserve"> </w:t>
      </w:r>
      <w:r w:rsidRPr="007C5E58">
        <w:t>have</w:t>
      </w:r>
      <w:r>
        <w:t xml:space="preserve"> </w:t>
      </w:r>
      <w:r w:rsidRPr="007C5E58">
        <w:t>been</w:t>
      </w:r>
      <w:r>
        <w:t xml:space="preserve"> </w:t>
      </w:r>
      <w:r w:rsidRPr="007C5E58">
        <w:t>factored</w:t>
      </w:r>
      <w:r>
        <w:t xml:space="preserve"> </w:t>
      </w:r>
      <w:r w:rsidRPr="007C5E58">
        <w:t>into</w:t>
      </w:r>
      <w:r>
        <w:t xml:space="preserve"> </w:t>
      </w:r>
      <w:r w:rsidRPr="007C5E58">
        <w:t>the</w:t>
      </w:r>
      <w:r>
        <w:t xml:space="preserve"> </w:t>
      </w:r>
      <w:r w:rsidRPr="007C5E58">
        <w:t>predictive</w:t>
      </w:r>
      <w:r>
        <w:t xml:space="preserve"> </w:t>
      </w:r>
      <w:r w:rsidRPr="007C5E58">
        <w:t>analysis.</w:t>
      </w:r>
      <w:r>
        <w:t xml:space="preserve"> </w:t>
      </w:r>
      <w:r w:rsidRPr="007C5E58">
        <w:t>The</w:t>
      </w:r>
      <w:r>
        <w:t xml:space="preserve"> </w:t>
      </w:r>
      <w:r w:rsidRPr="007C5E58">
        <w:t>model's</w:t>
      </w:r>
      <w:r>
        <w:t xml:space="preserve"> </w:t>
      </w:r>
      <w:r w:rsidRPr="007C5E58">
        <w:t>forecast,</w:t>
      </w:r>
      <w:r>
        <w:t xml:space="preserve"> </w:t>
      </w:r>
      <w:r w:rsidRPr="007C5E58">
        <w:t>delineated</w:t>
      </w:r>
      <w:r>
        <w:t xml:space="preserve"> </w:t>
      </w:r>
      <w:r w:rsidRPr="007C5E58">
        <w:t>by</w:t>
      </w:r>
      <w:r>
        <w:t xml:space="preserve"> </w:t>
      </w:r>
      <w:r w:rsidRPr="007C5E58">
        <w:t>the</w:t>
      </w:r>
      <w:r>
        <w:t xml:space="preserve"> </w:t>
      </w:r>
      <w:r w:rsidRPr="007C5E58">
        <w:t>blue</w:t>
      </w:r>
      <w:r>
        <w:t xml:space="preserve"> </w:t>
      </w:r>
      <w:r w:rsidRPr="007C5E58">
        <w:t>line,</w:t>
      </w:r>
      <w:r>
        <w:t xml:space="preserve"> </w:t>
      </w:r>
      <w:r w:rsidRPr="007C5E58">
        <w:t>suggests</w:t>
      </w:r>
      <w:r>
        <w:t xml:space="preserve"> </w:t>
      </w:r>
      <w:r w:rsidRPr="007C5E58">
        <w:t>a</w:t>
      </w:r>
      <w:r>
        <w:t xml:space="preserve"> </w:t>
      </w:r>
      <w:r w:rsidRPr="007C5E58">
        <w:t>perpetuation</w:t>
      </w:r>
      <w:r>
        <w:t xml:space="preserve"> </w:t>
      </w:r>
      <w:r w:rsidRPr="007C5E58">
        <w:t>of</w:t>
      </w:r>
      <w:r>
        <w:t xml:space="preserve"> </w:t>
      </w:r>
      <w:r w:rsidRPr="007C5E58">
        <w:t>this</w:t>
      </w:r>
      <w:r>
        <w:t xml:space="preserve"> </w:t>
      </w:r>
      <w:r w:rsidRPr="007C5E58">
        <w:t>established</w:t>
      </w:r>
      <w:r>
        <w:t xml:space="preserve"> </w:t>
      </w:r>
      <w:r w:rsidRPr="007C5E58">
        <w:t>cyclical</w:t>
      </w:r>
      <w:r>
        <w:t xml:space="preserve"> </w:t>
      </w:r>
      <w:r w:rsidRPr="007C5E58">
        <w:t>trend.</w:t>
      </w:r>
      <w:r>
        <w:t xml:space="preserve"> </w:t>
      </w:r>
      <w:r w:rsidRPr="007C5E58">
        <w:t>Noteworthy</w:t>
      </w:r>
      <w:r>
        <w:t xml:space="preserve"> </w:t>
      </w:r>
      <w:r w:rsidRPr="007C5E58">
        <w:t>within</w:t>
      </w:r>
      <w:r>
        <w:t xml:space="preserve"> </w:t>
      </w:r>
      <w:r w:rsidRPr="007C5E58">
        <w:t>the</w:t>
      </w:r>
      <w:r>
        <w:t xml:space="preserve"> </w:t>
      </w:r>
      <w:r w:rsidRPr="007C5E58">
        <w:t>forecast</w:t>
      </w:r>
      <w:r>
        <w:t xml:space="preserve"> </w:t>
      </w:r>
      <w:r w:rsidRPr="007C5E58">
        <w:t>is</w:t>
      </w:r>
      <w:r>
        <w:t xml:space="preserve"> </w:t>
      </w:r>
      <w:r w:rsidRPr="007C5E58">
        <w:t>a</w:t>
      </w:r>
      <w:r>
        <w:t xml:space="preserve"> </w:t>
      </w:r>
      <w:r w:rsidRPr="007C5E58">
        <w:t>pronounced</w:t>
      </w:r>
      <w:r>
        <w:t xml:space="preserve"> </w:t>
      </w:r>
      <w:r w:rsidRPr="007C5E58">
        <w:t>peak</w:t>
      </w:r>
      <w:r>
        <w:t xml:space="preserve"> </w:t>
      </w:r>
      <w:r w:rsidRPr="007C5E58">
        <w:t>toward</w:t>
      </w:r>
      <w:r>
        <w:t xml:space="preserve"> </w:t>
      </w:r>
      <w:r w:rsidRPr="007C5E58">
        <w:t>the</w:t>
      </w:r>
      <w:r>
        <w:t xml:space="preserve"> </w:t>
      </w:r>
      <w:r w:rsidRPr="007C5E58">
        <w:t>end</w:t>
      </w:r>
      <w:r>
        <w:t xml:space="preserve"> </w:t>
      </w:r>
      <w:r w:rsidRPr="007C5E58">
        <w:t>of</w:t>
      </w:r>
      <w:r>
        <w:t xml:space="preserve"> </w:t>
      </w:r>
      <w:r w:rsidRPr="007C5E58">
        <w:t>the</w:t>
      </w:r>
      <w:r>
        <w:t xml:space="preserve"> </w:t>
      </w:r>
      <w:r w:rsidRPr="007C5E58">
        <w:t>projection</w:t>
      </w:r>
      <w:r>
        <w:t xml:space="preserve"> </w:t>
      </w:r>
      <w:r w:rsidRPr="007C5E58">
        <w:t>period,</w:t>
      </w:r>
      <w:r>
        <w:t xml:space="preserve"> </w:t>
      </w:r>
      <w:r w:rsidRPr="007C5E58">
        <w:t>accompanied</w:t>
      </w:r>
      <w:r>
        <w:t xml:space="preserve"> </w:t>
      </w:r>
      <w:r w:rsidRPr="007C5E58">
        <w:t>by</w:t>
      </w:r>
      <w:r>
        <w:t xml:space="preserve"> </w:t>
      </w:r>
      <w:r w:rsidRPr="007C5E58">
        <w:t>a</w:t>
      </w:r>
      <w:r>
        <w:t xml:space="preserve"> </w:t>
      </w:r>
      <w:r w:rsidRPr="007C5E58">
        <w:t>broadening</w:t>
      </w:r>
      <w:r>
        <w:t xml:space="preserve"> </w:t>
      </w:r>
      <w:r w:rsidRPr="007C5E58">
        <w:t>confidence</w:t>
      </w:r>
      <w:r>
        <w:t xml:space="preserve"> </w:t>
      </w:r>
      <w:r w:rsidRPr="007C5E58">
        <w:t>interval,</w:t>
      </w:r>
      <w:r>
        <w:t xml:space="preserve"> </w:t>
      </w:r>
      <w:r w:rsidRPr="007C5E58">
        <w:t>indicative</w:t>
      </w:r>
      <w:r>
        <w:t xml:space="preserve"> </w:t>
      </w:r>
      <w:r w:rsidRPr="007C5E58">
        <w:t>of</w:t>
      </w:r>
      <w:r>
        <w:t xml:space="preserve"> </w:t>
      </w:r>
      <w:r w:rsidRPr="007C5E58">
        <w:t>heightened</w:t>
      </w:r>
      <w:r>
        <w:t xml:space="preserve"> </w:t>
      </w:r>
      <w:r w:rsidRPr="007C5E58">
        <w:t>uncertainty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estimations.</w:t>
      </w:r>
    </w:p>
    <w:p w14:paraId="502C9CBB" w14:textId="7FD350E6" w:rsidR="007C5E58" w:rsidRPr="007C5E58" w:rsidRDefault="007C5E58" w:rsidP="007C5E58">
      <w:pPr>
        <w:pStyle w:val="TTPParagraphothers"/>
        <w:ind w:firstLine="284"/>
      </w:pPr>
      <w:r w:rsidRPr="007C5E58">
        <w:t>This</w:t>
      </w:r>
      <w:r>
        <w:t xml:space="preserve"> </w:t>
      </w:r>
      <w:r w:rsidRPr="007C5E58">
        <w:t>peak,</w:t>
      </w:r>
      <w:r>
        <w:t xml:space="preserve"> </w:t>
      </w:r>
      <w:r w:rsidRPr="007C5E58">
        <w:t>particularly</w:t>
      </w:r>
      <w:r>
        <w:t xml:space="preserve"> </w:t>
      </w:r>
      <w:r w:rsidRPr="007C5E58">
        <w:t>discernible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blue</w:t>
      </w:r>
      <w:r>
        <w:t xml:space="preserve"> </w:t>
      </w:r>
      <w:r w:rsidRPr="007C5E58">
        <w:t>forecast</w:t>
      </w:r>
      <w:r>
        <w:t xml:space="preserve"> </w:t>
      </w:r>
      <w:r w:rsidRPr="007C5E58">
        <w:t>line,</w:t>
      </w:r>
      <w:r>
        <w:t xml:space="preserve"> </w:t>
      </w:r>
      <w:r w:rsidRPr="007C5E58">
        <w:t>may</w:t>
      </w:r>
      <w:r>
        <w:t xml:space="preserve"> </w:t>
      </w:r>
      <w:r w:rsidRPr="007C5E58">
        <w:t>presage</w:t>
      </w:r>
      <w:r>
        <w:t xml:space="preserve"> </w:t>
      </w:r>
      <w:r w:rsidRPr="007C5E58">
        <w:t>a</w:t>
      </w:r>
      <w:r>
        <w:t xml:space="preserve"> </w:t>
      </w:r>
      <w:r w:rsidRPr="007C5E58">
        <w:t>pivotal</w:t>
      </w:r>
      <w:r>
        <w:t xml:space="preserve"> </w:t>
      </w:r>
      <w:r w:rsidRPr="007C5E58">
        <w:t>inflection</w:t>
      </w:r>
      <w:r>
        <w:t xml:space="preserve"> </w:t>
      </w:r>
      <w:r w:rsidRPr="007C5E58">
        <w:t>in</w:t>
      </w:r>
      <w:r>
        <w:t xml:space="preserve"> </w:t>
      </w:r>
      <w:r w:rsidRPr="007C5E58">
        <w:t>housing</w:t>
      </w:r>
      <w:r>
        <w:t xml:space="preserve"> </w:t>
      </w:r>
      <w:r w:rsidRPr="007C5E58">
        <w:t>investment,</w:t>
      </w:r>
      <w:r>
        <w:t xml:space="preserve"> </w:t>
      </w:r>
      <w:r w:rsidRPr="007C5E58">
        <w:t>shaped</w:t>
      </w:r>
      <w:r>
        <w:t xml:space="preserve"> </w:t>
      </w:r>
      <w:r w:rsidRPr="007C5E58">
        <w:t>by</w:t>
      </w:r>
      <w:r>
        <w:t xml:space="preserve"> </w:t>
      </w:r>
      <w:r w:rsidRPr="007C5E58">
        <w:t>key</w:t>
      </w:r>
      <w:r>
        <w:t xml:space="preserve"> </w:t>
      </w:r>
      <w:r w:rsidRPr="007C5E58">
        <w:t>factors</w:t>
      </w:r>
      <w:r>
        <w:t xml:space="preserve"> </w:t>
      </w:r>
      <w:r w:rsidRPr="007C5E58">
        <w:t>including</w:t>
      </w:r>
      <w:r>
        <w:t xml:space="preserve"> </w:t>
      </w:r>
      <w:r w:rsidRPr="007C5E58">
        <w:t>the</w:t>
      </w:r>
      <w:r>
        <w:t xml:space="preserve"> </w:t>
      </w:r>
      <w:r w:rsidRPr="007C5E58">
        <w:t>outputs</w:t>
      </w:r>
      <w:r>
        <w:t xml:space="preserve"> </w:t>
      </w:r>
      <w:r w:rsidRPr="007C5E58">
        <w:t>of</w:t>
      </w:r>
      <w:r>
        <w:t xml:space="preserve"> </w:t>
      </w:r>
      <w:r w:rsidRPr="007C5E58">
        <w:t>steel,</w:t>
      </w:r>
      <w:r>
        <w:t xml:space="preserve"> </w:t>
      </w:r>
      <w:r w:rsidRPr="007C5E58">
        <w:t>aluminum,</w:t>
      </w:r>
      <w:r>
        <w:t xml:space="preserve"> </w:t>
      </w:r>
      <w:r w:rsidRPr="007C5E58">
        <w:t>and</w:t>
      </w:r>
      <w:r>
        <w:t xml:space="preserve"> </w:t>
      </w:r>
      <w:r w:rsidRPr="007C5E58">
        <w:t>concrete</w:t>
      </w:r>
      <w:r>
        <w:t xml:space="preserve"> </w:t>
      </w:r>
      <w:r w:rsidRPr="007C5E58">
        <w:t>production,</w:t>
      </w:r>
      <w:r>
        <w:t xml:space="preserve"> </w:t>
      </w:r>
      <w:r w:rsidRPr="007C5E58">
        <w:t>the</w:t>
      </w:r>
      <w:r>
        <w:t xml:space="preserve"> </w:t>
      </w:r>
      <w:r w:rsidRPr="007C5E58">
        <w:t>breadth</w:t>
      </w:r>
      <w:r>
        <w:t xml:space="preserve"> </w:t>
      </w:r>
      <w:r w:rsidRPr="007C5E58">
        <w:t>of</w:t>
      </w:r>
      <w:r>
        <w:t xml:space="preserve"> </w:t>
      </w:r>
      <w:r w:rsidRPr="007C5E58">
        <w:t>M2</w:t>
      </w:r>
      <w:r>
        <w:t xml:space="preserve"> </w:t>
      </w:r>
      <w:r w:rsidRPr="007C5E58">
        <w:t>money</w:t>
      </w:r>
      <w:r>
        <w:t xml:space="preserve"> </w:t>
      </w:r>
      <w:r w:rsidRPr="007C5E58">
        <w:t>supply,</w:t>
      </w:r>
      <w:r>
        <w:t xml:space="preserve"> </w:t>
      </w:r>
      <w:r w:rsidRPr="007C5E58">
        <w:t>and</w:t>
      </w:r>
      <w:r>
        <w:t xml:space="preserve"> </w:t>
      </w:r>
      <w:r w:rsidRPr="007C5E58">
        <w:t>the</w:t>
      </w:r>
      <w:r>
        <w:t xml:space="preserve"> </w:t>
      </w:r>
      <w:r w:rsidRPr="007C5E58">
        <w:t>volume</w:t>
      </w:r>
      <w:r>
        <w:t xml:space="preserve"> </w:t>
      </w:r>
      <w:r w:rsidRPr="007C5E58">
        <w:t>of</w:t>
      </w:r>
      <w:r>
        <w:t xml:space="preserve"> </w:t>
      </w:r>
      <w:r w:rsidRPr="007C5E58">
        <w:t>housing</w:t>
      </w:r>
      <w:r>
        <w:t xml:space="preserve"> </w:t>
      </w:r>
      <w:r w:rsidRPr="007C5E58">
        <w:t>sales.</w:t>
      </w:r>
      <w:r>
        <w:t xml:space="preserve"> </w:t>
      </w:r>
      <w:r w:rsidRPr="007C5E58">
        <w:t>The</w:t>
      </w:r>
      <w:r>
        <w:t xml:space="preserve"> </w:t>
      </w:r>
      <w:r w:rsidRPr="007C5E58">
        <w:t>narrowing</w:t>
      </w:r>
      <w:r>
        <w:t xml:space="preserve"> </w:t>
      </w:r>
      <w:r w:rsidRPr="007C5E58">
        <w:t>confidence</w:t>
      </w:r>
      <w:r>
        <w:t xml:space="preserve"> </w:t>
      </w:r>
      <w:r w:rsidRPr="007C5E58">
        <w:t>intervals</w:t>
      </w:r>
      <w:r>
        <w:t xml:space="preserve"> </w:t>
      </w:r>
      <w:r w:rsidRPr="007C5E58">
        <w:t>observed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proximate</w:t>
      </w:r>
      <w:r>
        <w:t xml:space="preserve"> </w:t>
      </w:r>
      <w:r w:rsidRPr="007C5E58">
        <w:t>data</w:t>
      </w:r>
      <w:r>
        <w:t xml:space="preserve"> </w:t>
      </w:r>
      <w:r w:rsidRPr="007C5E58">
        <w:t>signify</w:t>
      </w:r>
      <w:r>
        <w:t xml:space="preserve"> </w:t>
      </w:r>
      <w:r w:rsidRPr="007C5E58">
        <w:t>a</w:t>
      </w:r>
      <w:r>
        <w:t xml:space="preserve"> </w:t>
      </w:r>
      <w:r w:rsidRPr="007C5E58">
        <w:t>stronger</w:t>
      </w:r>
      <w:r>
        <w:t xml:space="preserve"> </w:t>
      </w:r>
      <w:r w:rsidRPr="007C5E58">
        <w:t>predictive</w:t>
      </w:r>
      <w:r>
        <w:t xml:space="preserve"> </w:t>
      </w:r>
      <w:r w:rsidRPr="007C5E58">
        <w:t>certainty,</w:t>
      </w:r>
      <w:r>
        <w:t xml:space="preserve"> </w:t>
      </w:r>
      <w:r w:rsidRPr="007C5E58">
        <w:t>while</w:t>
      </w:r>
      <w:r>
        <w:t xml:space="preserve"> </w:t>
      </w:r>
      <w:r w:rsidRPr="007C5E58">
        <w:t>the</w:t>
      </w:r>
      <w:r>
        <w:t xml:space="preserve"> </w:t>
      </w:r>
      <w:r w:rsidRPr="007C5E58">
        <w:t>divergence</w:t>
      </w:r>
      <w:r>
        <w:t xml:space="preserve"> </w:t>
      </w:r>
      <w:r w:rsidRPr="007C5E58">
        <w:t>seen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long-range</w:t>
      </w:r>
      <w:r>
        <w:t xml:space="preserve"> </w:t>
      </w:r>
      <w:r w:rsidRPr="007C5E58">
        <w:t>forecast</w:t>
      </w:r>
      <w:r>
        <w:t xml:space="preserve"> </w:t>
      </w:r>
      <w:r w:rsidRPr="007C5E58">
        <w:t>underscores</w:t>
      </w:r>
      <w:r>
        <w:t xml:space="preserve"> </w:t>
      </w:r>
      <w:r w:rsidRPr="007C5E58">
        <w:t>the</w:t>
      </w:r>
      <w:r>
        <w:t xml:space="preserve"> </w:t>
      </w:r>
      <w:r w:rsidRPr="007C5E58">
        <w:t>increasing</w:t>
      </w:r>
      <w:r>
        <w:t xml:space="preserve"> </w:t>
      </w:r>
      <w:r w:rsidRPr="007C5E58">
        <w:t>speculative</w:t>
      </w:r>
      <w:r>
        <w:t xml:space="preserve"> </w:t>
      </w:r>
      <w:r w:rsidRPr="007C5E58">
        <w:t>nature</w:t>
      </w:r>
      <w:r>
        <w:t xml:space="preserve"> </w:t>
      </w:r>
      <w:r w:rsidRPr="007C5E58">
        <w:t>of</w:t>
      </w:r>
      <w:r>
        <w:t xml:space="preserve"> </w:t>
      </w:r>
      <w:r w:rsidRPr="007C5E58">
        <w:t>these</w:t>
      </w:r>
      <w:r>
        <w:t xml:space="preserve"> </w:t>
      </w:r>
      <w:r w:rsidRPr="007C5E58">
        <w:t>projections.</w:t>
      </w:r>
    </w:p>
    <w:p w14:paraId="5A8598F5" w14:textId="3B3733A9" w:rsidR="007C5E58" w:rsidRPr="007C5E58" w:rsidRDefault="007C5E58" w:rsidP="007C5E58">
      <w:pPr>
        <w:pStyle w:val="TTPParagraphothers"/>
        <w:ind w:firstLine="284"/>
      </w:pPr>
      <w:r w:rsidRPr="007C5E58">
        <w:t>The</w:t>
      </w:r>
      <w:r>
        <w:t xml:space="preserve"> </w:t>
      </w:r>
      <w:r w:rsidRPr="007C5E58">
        <w:t>projected</w:t>
      </w:r>
      <w:r>
        <w:t xml:space="preserve"> </w:t>
      </w:r>
      <w:r w:rsidRPr="007C5E58">
        <w:t>uptrend</w:t>
      </w:r>
      <w:r>
        <w:t xml:space="preserve"> </w:t>
      </w:r>
      <w:r w:rsidRPr="007C5E58">
        <w:t>in</w:t>
      </w:r>
      <w:r>
        <w:t xml:space="preserve"> </w:t>
      </w:r>
      <w:r w:rsidRPr="007C5E58">
        <w:t>housing</w:t>
      </w:r>
      <w:r>
        <w:t xml:space="preserve"> </w:t>
      </w:r>
      <w:r w:rsidRPr="007C5E58">
        <w:t>investment,</w:t>
      </w:r>
      <w:r>
        <w:t xml:space="preserve"> </w:t>
      </w:r>
      <w:r w:rsidRPr="007C5E58">
        <w:t>aligning</w:t>
      </w:r>
      <w:r>
        <w:t xml:space="preserve"> </w:t>
      </w:r>
      <w:r w:rsidRPr="007C5E58">
        <w:t>with</w:t>
      </w:r>
      <w:r>
        <w:t xml:space="preserve"> </w:t>
      </w:r>
      <w:r w:rsidRPr="007C5E58">
        <w:t>historical</w:t>
      </w:r>
      <w:r>
        <w:t xml:space="preserve"> </w:t>
      </w:r>
      <w:r w:rsidRPr="007C5E58">
        <w:t>patterns,</w:t>
      </w:r>
      <w:r>
        <w:t xml:space="preserve"> </w:t>
      </w:r>
      <w:r w:rsidRPr="007C5E58">
        <w:t>is</w:t>
      </w:r>
      <w:r>
        <w:t xml:space="preserve"> </w:t>
      </w:r>
      <w:r w:rsidRPr="007C5E58">
        <w:t>expected</w:t>
      </w:r>
      <w:r>
        <w:t xml:space="preserve"> </w:t>
      </w:r>
      <w:r w:rsidRPr="007C5E58">
        <w:t>to</w:t>
      </w:r>
      <w:r>
        <w:t xml:space="preserve"> </w:t>
      </w:r>
      <w:r w:rsidRPr="007C5E58">
        <w:t>manifest</w:t>
      </w:r>
      <w:r>
        <w:t xml:space="preserve"> </w:t>
      </w:r>
      <w:r w:rsidRPr="007C5E58">
        <w:t>robustly,</w:t>
      </w:r>
      <w:r>
        <w:t xml:space="preserve"> </w:t>
      </w:r>
      <w:r w:rsidRPr="007C5E58">
        <w:t>driven</w:t>
      </w:r>
      <w:r>
        <w:t xml:space="preserve"> </w:t>
      </w:r>
      <w:r w:rsidRPr="007C5E58">
        <w:t>by</w:t>
      </w:r>
      <w:r>
        <w:t xml:space="preserve"> </w:t>
      </w:r>
      <w:r w:rsidRPr="007C5E58">
        <w:t>the</w:t>
      </w:r>
      <w:r>
        <w:t xml:space="preserve"> </w:t>
      </w:r>
      <w:r w:rsidRPr="007C5E58">
        <w:t>seasonal</w:t>
      </w:r>
      <w:r>
        <w:t xml:space="preserve"> </w:t>
      </w:r>
      <w:r w:rsidRPr="007C5E58">
        <w:t>momentum</w:t>
      </w:r>
      <w:r>
        <w:t xml:space="preserve"> </w:t>
      </w:r>
      <w:r w:rsidRPr="007C5E58">
        <w:t>of</w:t>
      </w:r>
      <w:r>
        <w:t xml:space="preserve"> </w:t>
      </w:r>
      <w:r w:rsidRPr="007C5E58">
        <w:t>the</w:t>
      </w:r>
      <w:r>
        <w:t xml:space="preserve"> </w:t>
      </w:r>
      <w:r w:rsidRPr="007C5E58">
        <w:t>construction</w:t>
      </w:r>
      <w:r>
        <w:t xml:space="preserve"> </w:t>
      </w:r>
      <w:r w:rsidRPr="007C5E58">
        <w:t>industry.</w:t>
      </w:r>
      <w:r>
        <w:t xml:space="preserve"> </w:t>
      </w:r>
      <w:r w:rsidRPr="007C5E58">
        <w:t>Typically,</w:t>
      </w:r>
      <w:r>
        <w:t xml:space="preserve"> </w:t>
      </w:r>
      <w:r w:rsidRPr="007C5E58">
        <w:t>a</w:t>
      </w:r>
      <w:r>
        <w:t xml:space="preserve"> </w:t>
      </w:r>
      <w:r w:rsidRPr="007C5E58">
        <w:t>slower</w:t>
      </w:r>
      <w:r>
        <w:t xml:space="preserve"> </w:t>
      </w:r>
      <w:r w:rsidRPr="007C5E58">
        <w:t>onset</w:t>
      </w:r>
      <w:r>
        <w:t xml:space="preserve"> </w:t>
      </w:r>
      <w:r w:rsidRPr="007C5E58">
        <w:t>of</w:t>
      </w:r>
      <w:r>
        <w:t xml:space="preserve"> </w:t>
      </w:r>
      <w:r w:rsidRPr="007C5E58">
        <w:t>construction</w:t>
      </w:r>
      <w:r>
        <w:t xml:space="preserve"> </w:t>
      </w:r>
      <w:r w:rsidRPr="007C5E58">
        <w:t>activity</w:t>
      </w:r>
      <w:r>
        <w:t xml:space="preserve"> </w:t>
      </w:r>
      <w:r w:rsidRPr="007C5E58">
        <w:t>is</w:t>
      </w:r>
      <w:r>
        <w:t xml:space="preserve"> </w:t>
      </w:r>
      <w:r w:rsidRPr="007C5E58">
        <w:t>seen</w:t>
      </w:r>
      <w:r>
        <w:t xml:space="preserve"> </w:t>
      </w:r>
      <w:r w:rsidRPr="007C5E58">
        <w:t>during</w:t>
      </w:r>
      <w:r>
        <w:t xml:space="preserve"> </w:t>
      </w:r>
      <w:r w:rsidRPr="007C5E58">
        <w:t>the</w:t>
      </w:r>
      <w:r>
        <w:t xml:space="preserve"> </w:t>
      </w:r>
      <w:r w:rsidRPr="007C5E58">
        <w:t>colder</w:t>
      </w:r>
      <w:r>
        <w:t xml:space="preserve"> </w:t>
      </w:r>
      <w:r w:rsidRPr="007C5E58">
        <w:t>months,</w:t>
      </w:r>
      <w:r>
        <w:t xml:space="preserve"> </w:t>
      </w:r>
      <w:r w:rsidRPr="007C5E58">
        <w:t>owing</w:t>
      </w:r>
      <w:r>
        <w:t xml:space="preserve"> </w:t>
      </w:r>
      <w:r w:rsidRPr="007C5E58">
        <w:t>to</w:t>
      </w:r>
      <w:r>
        <w:t xml:space="preserve"> </w:t>
      </w:r>
      <w:r w:rsidRPr="007C5E58">
        <w:t>environmental</w:t>
      </w:r>
      <w:r>
        <w:t xml:space="preserve"> </w:t>
      </w:r>
      <w:r w:rsidRPr="007C5E58">
        <w:t>impediments</w:t>
      </w:r>
      <w:r>
        <w:t xml:space="preserve"> </w:t>
      </w:r>
      <w:r w:rsidRPr="007C5E58">
        <w:t>and</w:t>
      </w:r>
      <w:r>
        <w:t xml:space="preserve"> </w:t>
      </w:r>
      <w:r w:rsidRPr="007C5E58">
        <w:t>festive</w:t>
      </w:r>
      <w:r>
        <w:t xml:space="preserve"> </w:t>
      </w:r>
      <w:r w:rsidRPr="007C5E58">
        <w:t>breaks.</w:t>
      </w:r>
      <w:r>
        <w:t xml:space="preserve"> </w:t>
      </w:r>
      <w:r w:rsidRPr="007C5E58">
        <w:t>However,</w:t>
      </w:r>
      <w:r>
        <w:t xml:space="preserve"> </w:t>
      </w:r>
      <w:r w:rsidRPr="007C5E58">
        <w:t>as</w:t>
      </w:r>
      <w:r>
        <w:t xml:space="preserve"> </w:t>
      </w:r>
      <w:r w:rsidRPr="007C5E58">
        <w:t>the</w:t>
      </w:r>
      <w:r>
        <w:t xml:space="preserve"> </w:t>
      </w:r>
      <w:r w:rsidRPr="007C5E58">
        <w:t>climate</w:t>
      </w:r>
      <w:r>
        <w:t xml:space="preserve"> </w:t>
      </w:r>
      <w:r w:rsidRPr="007C5E58">
        <w:t>becomes</w:t>
      </w:r>
      <w:r>
        <w:t xml:space="preserve"> </w:t>
      </w:r>
      <w:r w:rsidRPr="007C5E58">
        <w:t>more</w:t>
      </w:r>
      <w:r>
        <w:t xml:space="preserve"> </w:t>
      </w:r>
      <w:r w:rsidRPr="007C5E58">
        <w:t>conducive,</w:t>
      </w:r>
      <w:r>
        <w:t xml:space="preserve"> </w:t>
      </w:r>
      <w:r w:rsidRPr="007C5E58">
        <w:t>the</w:t>
      </w:r>
      <w:r>
        <w:t xml:space="preserve"> </w:t>
      </w:r>
      <w:r w:rsidRPr="007C5E58">
        <w:t>industry</w:t>
      </w:r>
      <w:r>
        <w:t xml:space="preserve"> </w:t>
      </w:r>
      <w:r w:rsidRPr="007C5E58">
        <w:t>is</w:t>
      </w:r>
      <w:r>
        <w:t xml:space="preserve"> </w:t>
      </w:r>
      <w:r w:rsidRPr="007C5E58">
        <w:t>anticipated</w:t>
      </w:r>
      <w:r>
        <w:t xml:space="preserve"> </w:t>
      </w:r>
      <w:r w:rsidRPr="007C5E58">
        <w:t>to</w:t>
      </w:r>
      <w:r>
        <w:t xml:space="preserve"> </w:t>
      </w:r>
      <w:r w:rsidRPr="007C5E58">
        <w:t>surge,</w:t>
      </w:r>
      <w:r>
        <w:t xml:space="preserve"> </w:t>
      </w:r>
      <w:r w:rsidRPr="007C5E58">
        <w:t>entering</w:t>
      </w:r>
      <w:r>
        <w:t xml:space="preserve"> </w:t>
      </w:r>
      <w:r w:rsidRPr="007C5E58">
        <w:t>a</w:t>
      </w:r>
      <w:r>
        <w:t xml:space="preserve"> </w:t>
      </w:r>
      <w:r w:rsidRPr="007C5E58">
        <w:t>period</w:t>
      </w:r>
      <w:r>
        <w:t xml:space="preserve"> </w:t>
      </w:r>
      <w:r w:rsidRPr="007C5E58">
        <w:t>of</w:t>
      </w:r>
      <w:r>
        <w:t xml:space="preserve"> </w:t>
      </w:r>
      <w:r w:rsidRPr="007C5E58">
        <w:t>intense</w:t>
      </w:r>
      <w:r>
        <w:t xml:space="preserve"> </w:t>
      </w:r>
      <w:r w:rsidRPr="007C5E58">
        <w:t>activity.</w:t>
      </w:r>
      <w:r>
        <w:t xml:space="preserve"> </w:t>
      </w:r>
      <w:r w:rsidRPr="007C5E58">
        <w:t>Despite</w:t>
      </w:r>
      <w:r>
        <w:t xml:space="preserve"> </w:t>
      </w:r>
      <w:r w:rsidRPr="007C5E58">
        <w:t>the</w:t>
      </w:r>
      <w:r>
        <w:t xml:space="preserve"> </w:t>
      </w:r>
      <w:r w:rsidRPr="007C5E58">
        <w:t>model</w:t>
      </w:r>
      <w:r>
        <w:t xml:space="preserve"> </w:t>
      </w:r>
      <w:r w:rsidRPr="007C5E58">
        <w:t>not</w:t>
      </w:r>
      <w:r>
        <w:t xml:space="preserve"> </w:t>
      </w:r>
      <w:r w:rsidRPr="007C5E58">
        <w:t>forecasting</w:t>
      </w:r>
      <w:r>
        <w:t xml:space="preserve"> </w:t>
      </w:r>
      <w:r w:rsidRPr="007C5E58">
        <w:t>a</w:t>
      </w:r>
      <w:r>
        <w:t xml:space="preserve"> </w:t>
      </w:r>
      <w:r w:rsidRPr="007C5E58">
        <w:t>dip</w:t>
      </w:r>
      <w:r>
        <w:t xml:space="preserve"> </w:t>
      </w:r>
      <w:r w:rsidRPr="007C5E58">
        <w:t>beneath</w:t>
      </w:r>
      <w:r>
        <w:t xml:space="preserve"> </w:t>
      </w:r>
      <w:r w:rsidRPr="007C5E58">
        <w:t>historic</w:t>
      </w:r>
      <w:r>
        <w:t xml:space="preserve"> </w:t>
      </w:r>
      <w:r w:rsidRPr="007C5E58">
        <w:t>lows,</w:t>
      </w:r>
      <w:r>
        <w:t xml:space="preserve"> </w:t>
      </w:r>
      <w:r w:rsidRPr="007C5E58">
        <w:t>thereby</w:t>
      </w:r>
      <w:r>
        <w:t xml:space="preserve"> </w:t>
      </w:r>
      <w:r w:rsidRPr="007C5E58">
        <w:t>implying</w:t>
      </w:r>
      <w:r>
        <w:t xml:space="preserve"> </w:t>
      </w:r>
      <w:r w:rsidRPr="007C5E58">
        <w:t>a</w:t>
      </w:r>
      <w:r>
        <w:t xml:space="preserve"> </w:t>
      </w:r>
      <w:r w:rsidRPr="007C5E58">
        <w:t>baseline</w:t>
      </w:r>
      <w:r>
        <w:t xml:space="preserve"> </w:t>
      </w:r>
      <w:r w:rsidRPr="007C5E58">
        <w:t>stability</w:t>
      </w:r>
      <w:r>
        <w:t xml:space="preserve"> </w:t>
      </w:r>
      <w:r w:rsidRPr="007C5E58">
        <w:t>in</w:t>
      </w:r>
      <w:r>
        <w:t xml:space="preserve"> </w:t>
      </w:r>
      <w:r w:rsidRPr="007C5E58">
        <w:t>housing</w:t>
      </w:r>
      <w:r>
        <w:t xml:space="preserve"> </w:t>
      </w:r>
      <w:r w:rsidRPr="007C5E58">
        <w:t>supply,</w:t>
      </w:r>
      <w:r>
        <w:t xml:space="preserve"> </w:t>
      </w:r>
      <w:r w:rsidRPr="007C5E58">
        <w:t>it</w:t>
      </w:r>
      <w:r>
        <w:t xml:space="preserve"> </w:t>
      </w:r>
      <w:r w:rsidRPr="007C5E58">
        <w:t>does</w:t>
      </w:r>
      <w:r>
        <w:t xml:space="preserve"> </w:t>
      </w:r>
      <w:r w:rsidRPr="007C5E58">
        <w:t>not</w:t>
      </w:r>
      <w:r>
        <w:t xml:space="preserve"> </w:t>
      </w:r>
      <w:r w:rsidRPr="007C5E58">
        <w:t>discount</w:t>
      </w:r>
      <w:r>
        <w:t xml:space="preserve"> </w:t>
      </w:r>
      <w:r w:rsidRPr="007C5E58">
        <w:t>the</w:t>
      </w:r>
      <w:r>
        <w:t xml:space="preserve"> </w:t>
      </w:r>
      <w:r w:rsidRPr="007C5E58">
        <w:t>possibility</w:t>
      </w:r>
      <w:r>
        <w:t xml:space="preserve"> </w:t>
      </w:r>
      <w:r w:rsidRPr="007C5E58">
        <w:t>of</w:t>
      </w:r>
      <w:r>
        <w:t xml:space="preserve"> </w:t>
      </w:r>
      <w:r w:rsidRPr="007C5E58">
        <w:t>sharp</w:t>
      </w:r>
      <w:r>
        <w:t xml:space="preserve"> </w:t>
      </w:r>
      <w:r w:rsidRPr="007C5E58">
        <w:t>declines</w:t>
      </w:r>
      <w:r>
        <w:t xml:space="preserve"> </w:t>
      </w:r>
      <w:r w:rsidRPr="007C5E58">
        <w:t>in</w:t>
      </w:r>
      <w:r>
        <w:t xml:space="preserve"> </w:t>
      </w:r>
      <w:r w:rsidRPr="007C5E58">
        <w:t>demand</w:t>
      </w:r>
      <w:r>
        <w:t xml:space="preserve"> </w:t>
      </w:r>
      <w:r w:rsidRPr="007C5E58">
        <w:t>triggered</w:t>
      </w:r>
      <w:r>
        <w:t xml:space="preserve"> </w:t>
      </w:r>
      <w:r w:rsidRPr="007C5E58">
        <w:t>by</w:t>
      </w:r>
      <w:r>
        <w:t xml:space="preserve"> </w:t>
      </w:r>
      <w:r w:rsidRPr="007C5E58">
        <w:t>macroeconomic</w:t>
      </w:r>
      <w:r>
        <w:t xml:space="preserve"> </w:t>
      </w:r>
      <w:r w:rsidRPr="007C5E58">
        <w:t>upheavals</w:t>
      </w:r>
      <w:r>
        <w:t xml:space="preserve"> </w:t>
      </w:r>
      <w:r w:rsidRPr="007C5E58">
        <w:t>or</w:t>
      </w:r>
      <w:r>
        <w:t xml:space="preserve"> </w:t>
      </w:r>
      <w:r w:rsidRPr="007C5E58">
        <w:t>demographic</w:t>
      </w:r>
      <w:r>
        <w:t xml:space="preserve"> </w:t>
      </w:r>
      <w:r w:rsidRPr="007C5E58">
        <w:t>transitions,</w:t>
      </w:r>
      <w:r>
        <w:t xml:space="preserve"> </w:t>
      </w:r>
      <w:r w:rsidRPr="007C5E58">
        <w:t>such</w:t>
      </w:r>
      <w:r>
        <w:t xml:space="preserve"> </w:t>
      </w:r>
      <w:r w:rsidRPr="007C5E58">
        <w:t>as</w:t>
      </w:r>
      <w:r>
        <w:t xml:space="preserve"> </w:t>
      </w:r>
      <w:r w:rsidRPr="007C5E58">
        <w:t>population</w:t>
      </w:r>
      <w:r>
        <w:t xml:space="preserve"> </w:t>
      </w:r>
      <w:r w:rsidRPr="007C5E58">
        <w:t>aging</w:t>
      </w:r>
      <w:r>
        <w:t xml:space="preserve"> </w:t>
      </w:r>
      <w:r w:rsidRPr="007C5E58">
        <w:t>and</w:t>
      </w:r>
      <w:r>
        <w:t xml:space="preserve"> </w:t>
      </w:r>
      <w:r w:rsidRPr="007C5E58">
        <w:t>fertility</w:t>
      </w:r>
      <w:r>
        <w:t xml:space="preserve"> </w:t>
      </w:r>
      <w:r w:rsidRPr="007C5E58">
        <w:t>rate</w:t>
      </w:r>
      <w:r>
        <w:t xml:space="preserve"> </w:t>
      </w:r>
      <w:r w:rsidRPr="007C5E58">
        <w:t>reductions.</w:t>
      </w:r>
      <w:r>
        <w:t xml:space="preserve"> </w:t>
      </w:r>
      <w:r w:rsidRPr="007C5E58">
        <w:t>Should</w:t>
      </w:r>
      <w:r>
        <w:t xml:space="preserve"> </w:t>
      </w:r>
      <w:r w:rsidRPr="007C5E58">
        <w:t>such</w:t>
      </w:r>
      <w:r>
        <w:t xml:space="preserve"> </w:t>
      </w:r>
      <w:r w:rsidRPr="007C5E58">
        <w:t>a</w:t>
      </w:r>
      <w:r>
        <w:t xml:space="preserve"> </w:t>
      </w:r>
      <w:r w:rsidRPr="007C5E58">
        <w:t>scenario</w:t>
      </w:r>
      <w:r>
        <w:t xml:space="preserve"> </w:t>
      </w:r>
      <w:r w:rsidRPr="007C5E58">
        <w:t>unfold,</w:t>
      </w:r>
      <w:r>
        <w:t xml:space="preserve"> </w:t>
      </w:r>
      <w:r w:rsidRPr="007C5E58">
        <w:t>it</w:t>
      </w:r>
      <w:r>
        <w:t xml:space="preserve"> </w:t>
      </w:r>
      <w:r w:rsidRPr="007C5E58">
        <w:t>may</w:t>
      </w:r>
      <w:r>
        <w:t xml:space="preserve"> </w:t>
      </w:r>
      <w:r w:rsidRPr="007C5E58">
        <w:t>precipitate</w:t>
      </w:r>
      <w:r>
        <w:t xml:space="preserve"> </w:t>
      </w:r>
      <w:r w:rsidRPr="007C5E58">
        <w:t>an</w:t>
      </w:r>
      <w:r>
        <w:t xml:space="preserve"> </w:t>
      </w:r>
      <w:r w:rsidRPr="007C5E58">
        <w:t>oversupply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housing</w:t>
      </w:r>
      <w:r>
        <w:t xml:space="preserve"> </w:t>
      </w:r>
      <w:r w:rsidRPr="007C5E58">
        <w:t>market,</w:t>
      </w:r>
      <w:r>
        <w:t xml:space="preserve"> </w:t>
      </w:r>
      <w:r w:rsidRPr="007C5E58">
        <w:t>risking</w:t>
      </w:r>
      <w:r>
        <w:t xml:space="preserve"> </w:t>
      </w:r>
      <w:r w:rsidRPr="007C5E58">
        <w:t>the</w:t>
      </w:r>
      <w:r>
        <w:t xml:space="preserve"> </w:t>
      </w:r>
      <w:r w:rsidRPr="007C5E58">
        <w:t>integrity</w:t>
      </w:r>
      <w:r>
        <w:t xml:space="preserve"> </w:t>
      </w:r>
      <w:r w:rsidRPr="007C5E58">
        <w:t>of</w:t>
      </w:r>
      <w:r>
        <w:t xml:space="preserve"> </w:t>
      </w:r>
      <w:r w:rsidRPr="007C5E58">
        <w:t>a</w:t>
      </w:r>
      <w:r>
        <w:t xml:space="preserve"> </w:t>
      </w:r>
      <w:r w:rsidRPr="007C5E58">
        <w:t>speculated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bubble</w:t>
      </w:r>
      <w:r>
        <w:t xml:space="preserve"> </w:t>
      </w:r>
      <w:r w:rsidRPr="007C5E58">
        <w:t>and</w:t>
      </w:r>
      <w:r>
        <w:t xml:space="preserve"> </w:t>
      </w:r>
      <w:r w:rsidRPr="007C5E58">
        <w:t>the</w:t>
      </w:r>
      <w:r>
        <w:t xml:space="preserve"> </w:t>
      </w:r>
      <w:r w:rsidRPr="007C5E58">
        <w:t>subsequent</w:t>
      </w:r>
      <w:r>
        <w:t xml:space="preserve"> </w:t>
      </w:r>
      <w:r w:rsidRPr="007C5E58">
        <w:t>devaluation</w:t>
      </w:r>
      <w:r>
        <w:t xml:space="preserve"> </w:t>
      </w:r>
      <w:r w:rsidRPr="007C5E58">
        <w:t>of</w:t>
      </w:r>
      <w:r>
        <w:t xml:space="preserve"> </w:t>
      </w:r>
      <w:r w:rsidRPr="007C5E58">
        <w:t>assets,</w:t>
      </w:r>
      <w:r>
        <w:t xml:space="preserve"> </w:t>
      </w:r>
      <w:r w:rsidRPr="007C5E58">
        <w:t>which</w:t>
      </w:r>
      <w:r>
        <w:t xml:space="preserve"> </w:t>
      </w:r>
      <w:r w:rsidRPr="007C5E58">
        <w:t>could</w:t>
      </w:r>
      <w:r>
        <w:t xml:space="preserve"> </w:t>
      </w:r>
      <w:r w:rsidRPr="007C5E58">
        <w:t>spiral</w:t>
      </w:r>
      <w:r>
        <w:t xml:space="preserve"> </w:t>
      </w:r>
      <w:r w:rsidRPr="007C5E58">
        <w:t>into</w:t>
      </w:r>
      <w:r>
        <w:t xml:space="preserve"> </w:t>
      </w:r>
      <w:r w:rsidRPr="007C5E58">
        <w:t>a</w:t>
      </w:r>
      <w:r>
        <w:t xml:space="preserve"> </w:t>
      </w:r>
      <w:r w:rsidRPr="007C5E58">
        <w:t>broader</w:t>
      </w:r>
      <w:r>
        <w:t xml:space="preserve"> </w:t>
      </w:r>
      <w:r w:rsidRPr="007C5E58">
        <w:t>economic</w:t>
      </w:r>
      <w:r>
        <w:t xml:space="preserve"> </w:t>
      </w:r>
      <w:r w:rsidRPr="007C5E58">
        <w:t>recession.</w:t>
      </w:r>
    </w:p>
    <w:p w14:paraId="5249E5D7" w14:textId="694CB122" w:rsidR="007C5E58" w:rsidRPr="007C5E58" w:rsidRDefault="007C5E58" w:rsidP="007C5E58">
      <w:pPr>
        <w:pStyle w:val="TTPParagraphothers"/>
        <w:ind w:firstLine="284"/>
      </w:pPr>
      <w:r w:rsidRPr="007C5E58">
        <w:t>This</w:t>
      </w:r>
      <w:r>
        <w:t xml:space="preserve"> </w:t>
      </w:r>
      <w:r w:rsidRPr="007C5E58">
        <w:t>predictive</w:t>
      </w:r>
      <w:r>
        <w:t xml:space="preserve"> </w:t>
      </w:r>
      <w:r w:rsidRPr="007C5E58">
        <w:t>outlook,</w:t>
      </w:r>
      <w:r>
        <w:t xml:space="preserve"> </w:t>
      </w:r>
      <w:r w:rsidRPr="007C5E58">
        <w:t>grounded</w:t>
      </w:r>
      <w:r>
        <w:t xml:space="preserve"> </w:t>
      </w:r>
      <w:r w:rsidRPr="007C5E58">
        <w:t>in</w:t>
      </w:r>
      <w:r>
        <w:t xml:space="preserve"> </w:t>
      </w:r>
      <w:r w:rsidRPr="007C5E58">
        <w:t>statistical</w:t>
      </w:r>
      <w:r>
        <w:t xml:space="preserve"> </w:t>
      </w:r>
      <w:r w:rsidRPr="007C5E58">
        <w:t>modeling</w:t>
      </w:r>
      <w:r>
        <w:t xml:space="preserve"> </w:t>
      </w:r>
      <w:r w:rsidRPr="007C5E58">
        <w:t>and</w:t>
      </w:r>
      <w:r>
        <w:t xml:space="preserve"> </w:t>
      </w:r>
      <w:r w:rsidRPr="007C5E58">
        <w:t>economic</w:t>
      </w:r>
      <w:r>
        <w:t xml:space="preserve"> </w:t>
      </w:r>
      <w:r w:rsidRPr="007C5E58">
        <w:t>theory,</w:t>
      </w:r>
      <w:r>
        <w:t xml:space="preserve"> </w:t>
      </w:r>
      <w:r w:rsidRPr="007C5E58">
        <w:t>underscores</w:t>
      </w:r>
      <w:r>
        <w:t xml:space="preserve"> </w:t>
      </w:r>
      <w:r w:rsidRPr="007C5E58">
        <w:t>the</w:t>
      </w:r>
      <w:r>
        <w:t xml:space="preserve"> </w:t>
      </w:r>
      <w:r w:rsidRPr="007C5E58">
        <w:t>importance</w:t>
      </w:r>
      <w:r>
        <w:t xml:space="preserve"> </w:t>
      </w:r>
      <w:r w:rsidRPr="007C5E58">
        <w:t>of</w:t>
      </w:r>
      <w:r>
        <w:t xml:space="preserve"> </w:t>
      </w:r>
      <w:r w:rsidRPr="007C5E58">
        <w:t>vigilance</w:t>
      </w:r>
      <w:r>
        <w:t xml:space="preserve"> </w:t>
      </w:r>
      <w:r w:rsidRPr="007C5E58">
        <w:t>and</w:t>
      </w:r>
      <w:r>
        <w:t xml:space="preserve"> </w:t>
      </w:r>
      <w:r w:rsidRPr="007C5E58">
        <w:t>adaptability</w:t>
      </w:r>
      <w:r>
        <w:t xml:space="preserve"> </w:t>
      </w:r>
      <w:r w:rsidRPr="007C5E58">
        <w:t>in</w:t>
      </w:r>
      <w:r>
        <w:t xml:space="preserve"> </w:t>
      </w:r>
      <w:r w:rsidRPr="007C5E58">
        <w:t>policy</w:t>
      </w:r>
      <w:r>
        <w:t xml:space="preserve"> </w:t>
      </w:r>
      <w:r w:rsidRPr="007C5E58">
        <w:t>planning.</w:t>
      </w:r>
      <w:r>
        <w:t xml:space="preserve"> </w:t>
      </w:r>
      <w:r w:rsidRPr="007C5E58">
        <w:t>It</w:t>
      </w:r>
      <w:r>
        <w:t xml:space="preserve"> </w:t>
      </w:r>
      <w:r w:rsidRPr="007C5E58">
        <w:t>advocates</w:t>
      </w:r>
      <w:r>
        <w:t xml:space="preserve"> </w:t>
      </w:r>
      <w:r w:rsidRPr="007C5E58">
        <w:t>for</w:t>
      </w:r>
      <w:r>
        <w:t xml:space="preserve"> </w:t>
      </w:r>
      <w:r w:rsidRPr="007C5E58">
        <w:t>a</w:t>
      </w:r>
      <w:r>
        <w:t xml:space="preserve"> </w:t>
      </w:r>
      <w:r w:rsidRPr="007C5E58">
        <w:t>proactive</w:t>
      </w:r>
      <w:r>
        <w:t xml:space="preserve"> </w:t>
      </w:r>
      <w:r w:rsidRPr="007C5E58">
        <w:t>approach</w:t>
      </w:r>
      <w:r>
        <w:t xml:space="preserve"> </w:t>
      </w:r>
      <w:r w:rsidRPr="007C5E58">
        <w:t>in</w:t>
      </w:r>
      <w:r>
        <w:t xml:space="preserve"> </w:t>
      </w:r>
      <w:r w:rsidRPr="007C5E58">
        <w:t>managing</w:t>
      </w:r>
      <w:r>
        <w:t xml:space="preserve"> </w:t>
      </w:r>
      <w:r w:rsidRPr="007C5E58">
        <w:t>the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market,</w:t>
      </w:r>
      <w:r>
        <w:t xml:space="preserve"> </w:t>
      </w:r>
      <w:r w:rsidRPr="007C5E58">
        <w:t>emphasizing</w:t>
      </w:r>
      <w:r>
        <w:t xml:space="preserve"> </w:t>
      </w:r>
      <w:r w:rsidRPr="007C5E58">
        <w:t>the</w:t>
      </w:r>
      <w:r>
        <w:t xml:space="preserve"> </w:t>
      </w:r>
      <w:r w:rsidRPr="007C5E58">
        <w:t>need</w:t>
      </w:r>
      <w:r>
        <w:t xml:space="preserve"> </w:t>
      </w:r>
      <w:r w:rsidRPr="007C5E58">
        <w:t>to</w:t>
      </w:r>
      <w:r>
        <w:t xml:space="preserve"> </w:t>
      </w:r>
      <w:r w:rsidRPr="007C5E58">
        <w:t>balance</w:t>
      </w:r>
      <w:r>
        <w:t xml:space="preserve"> </w:t>
      </w:r>
      <w:r w:rsidRPr="007C5E58">
        <w:t>supply</w:t>
      </w:r>
      <w:r>
        <w:t xml:space="preserve"> </w:t>
      </w:r>
      <w:r w:rsidRPr="007C5E58">
        <w:t>with</w:t>
      </w:r>
      <w:r>
        <w:t xml:space="preserve"> </w:t>
      </w:r>
      <w:r w:rsidRPr="007C5E58">
        <w:t>evolving</w:t>
      </w:r>
      <w:r>
        <w:t xml:space="preserve"> </w:t>
      </w:r>
      <w:r w:rsidRPr="007C5E58">
        <w:t>demand,</w:t>
      </w:r>
      <w:r>
        <w:t xml:space="preserve"> </w:t>
      </w:r>
      <w:r w:rsidRPr="007C5E58">
        <w:t>to</w:t>
      </w:r>
      <w:r>
        <w:t xml:space="preserve"> </w:t>
      </w:r>
      <w:r w:rsidRPr="007C5E58">
        <w:t>mitigate</w:t>
      </w:r>
      <w:r>
        <w:t xml:space="preserve"> </w:t>
      </w:r>
      <w:r w:rsidRPr="007C5E58">
        <w:t>the</w:t>
      </w:r>
      <w:r>
        <w:t xml:space="preserve"> </w:t>
      </w:r>
      <w:r w:rsidRPr="007C5E58">
        <w:t>risks</w:t>
      </w:r>
      <w:r>
        <w:t xml:space="preserve"> </w:t>
      </w:r>
      <w:r w:rsidRPr="007C5E58">
        <w:t>of</w:t>
      </w:r>
      <w:r>
        <w:t xml:space="preserve"> </w:t>
      </w:r>
      <w:r w:rsidRPr="007C5E58">
        <w:t>market</w:t>
      </w:r>
      <w:r>
        <w:t xml:space="preserve"> </w:t>
      </w:r>
      <w:r w:rsidRPr="007C5E58">
        <w:t>volatility,</w:t>
      </w:r>
      <w:r>
        <w:t xml:space="preserve"> </w:t>
      </w:r>
      <w:r w:rsidRPr="007C5E58">
        <w:t>and</w:t>
      </w:r>
      <w:r>
        <w:t xml:space="preserve"> </w:t>
      </w:r>
      <w:r w:rsidRPr="007C5E58">
        <w:t>to</w:t>
      </w:r>
      <w:r>
        <w:t xml:space="preserve"> </w:t>
      </w:r>
      <w:r w:rsidRPr="007C5E58">
        <w:t>safeguard</w:t>
      </w:r>
      <w:r>
        <w:t xml:space="preserve"> </w:t>
      </w:r>
      <w:r w:rsidRPr="007C5E58">
        <w:t>the</w:t>
      </w:r>
      <w:r>
        <w:t xml:space="preserve"> </w:t>
      </w:r>
      <w:r w:rsidRPr="007C5E58">
        <w:t>economic</w:t>
      </w:r>
      <w:r>
        <w:t xml:space="preserve"> </w:t>
      </w:r>
      <w:r w:rsidRPr="007C5E58">
        <w:t>well-being</w:t>
      </w:r>
      <w:r>
        <w:t xml:space="preserve"> </w:t>
      </w:r>
      <w:r w:rsidRPr="007C5E58">
        <w:t>of</w:t>
      </w:r>
      <w:r>
        <w:t xml:space="preserve"> </w:t>
      </w:r>
      <w:r w:rsidRPr="007C5E58">
        <w:t>the</w:t>
      </w:r>
      <w:r>
        <w:t xml:space="preserve"> </w:t>
      </w:r>
      <w:r w:rsidRPr="007C5E58">
        <w:t>nation.</w:t>
      </w:r>
      <w:r>
        <w:t xml:space="preserve"> </w:t>
      </w:r>
      <w:r w:rsidRPr="007C5E58">
        <w:t>The</w:t>
      </w:r>
      <w:r>
        <w:t xml:space="preserve"> </w:t>
      </w:r>
      <w:r w:rsidRPr="007C5E58">
        <w:t>insights</w:t>
      </w:r>
      <w:r>
        <w:t xml:space="preserve"> </w:t>
      </w:r>
      <w:r w:rsidRPr="007C5E58">
        <w:t>from</w:t>
      </w:r>
      <w:r>
        <w:t xml:space="preserve"> </w:t>
      </w:r>
      <w:r w:rsidRPr="007C5E58">
        <w:t>this</w:t>
      </w:r>
      <w:r>
        <w:t xml:space="preserve"> </w:t>
      </w:r>
      <w:r w:rsidRPr="007C5E58">
        <w:t>model</w:t>
      </w:r>
      <w:r>
        <w:t xml:space="preserve"> </w:t>
      </w:r>
      <w:r w:rsidRPr="007C5E58">
        <w:t>are</w:t>
      </w:r>
      <w:r>
        <w:t xml:space="preserve"> </w:t>
      </w:r>
      <w:r w:rsidRPr="007C5E58">
        <w:t>integral</w:t>
      </w:r>
      <w:r>
        <w:t xml:space="preserve"> </w:t>
      </w:r>
      <w:r w:rsidRPr="007C5E58">
        <w:t>to</w:t>
      </w:r>
      <w:r>
        <w:t xml:space="preserve"> </w:t>
      </w:r>
      <w:r w:rsidRPr="007C5E58">
        <w:t>informing</w:t>
      </w:r>
      <w:r>
        <w:t xml:space="preserve"> </w:t>
      </w:r>
      <w:r w:rsidRPr="007C5E58">
        <w:t>strategic</w:t>
      </w:r>
      <w:r>
        <w:t xml:space="preserve"> </w:t>
      </w:r>
      <w:r w:rsidRPr="007C5E58">
        <w:t>economic</w:t>
      </w:r>
      <w:r>
        <w:t xml:space="preserve"> </w:t>
      </w:r>
      <w:r w:rsidRPr="007C5E58">
        <w:t>decisions,</w:t>
      </w:r>
      <w:r>
        <w:t xml:space="preserve"> </w:t>
      </w:r>
      <w:r w:rsidRPr="007C5E58">
        <w:t>enabling</w:t>
      </w:r>
      <w:r>
        <w:t xml:space="preserve"> </w:t>
      </w:r>
      <w:r w:rsidRPr="007C5E58">
        <w:t>stakeholders</w:t>
      </w:r>
      <w:r>
        <w:t xml:space="preserve"> </w:t>
      </w:r>
      <w:r w:rsidRPr="007C5E58">
        <w:t>to</w:t>
      </w:r>
      <w:r>
        <w:t xml:space="preserve"> </w:t>
      </w:r>
      <w:r w:rsidRPr="007C5E58">
        <w:t>navigate</w:t>
      </w:r>
      <w:r>
        <w:t xml:space="preserve"> </w:t>
      </w:r>
      <w:r w:rsidRPr="007C5E58">
        <w:t>the</w:t>
      </w:r>
      <w:r>
        <w:t xml:space="preserve"> </w:t>
      </w:r>
      <w:r w:rsidRPr="007C5E58">
        <w:t>complex</w:t>
      </w:r>
      <w:r>
        <w:t xml:space="preserve"> </w:t>
      </w:r>
      <w:r w:rsidRPr="007C5E58">
        <w:t>interplay</w:t>
      </w:r>
      <w:r>
        <w:t xml:space="preserve"> </w:t>
      </w:r>
      <w:r w:rsidRPr="007C5E58">
        <w:t>of</w:t>
      </w:r>
      <w:r>
        <w:t xml:space="preserve"> </w:t>
      </w:r>
      <w:r w:rsidRPr="007C5E58">
        <w:t>market</w:t>
      </w:r>
      <w:r>
        <w:t xml:space="preserve"> </w:t>
      </w:r>
      <w:r w:rsidRPr="007C5E58">
        <w:t>forces</w:t>
      </w:r>
      <w:r>
        <w:t xml:space="preserve"> </w:t>
      </w:r>
      <w:r w:rsidRPr="007C5E58">
        <w:t>and</w:t>
      </w:r>
      <w:r>
        <w:t xml:space="preserve"> </w:t>
      </w:r>
      <w:r w:rsidRPr="007C5E58">
        <w:t>to</w:t>
      </w:r>
      <w:r>
        <w:t xml:space="preserve"> </w:t>
      </w:r>
      <w:r w:rsidRPr="007C5E58">
        <w:t>preempt</w:t>
      </w:r>
      <w:r>
        <w:t xml:space="preserve"> </w:t>
      </w:r>
      <w:r w:rsidRPr="007C5E58">
        <w:t>potential</w:t>
      </w:r>
      <w:r>
        <w:t xml:space="preserve"> </w:t>
      </w:r>
      <w:r w:rsidRPr="007C5E58">
        <w:t>downturns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housing</w:t>
      </w:r>
      <w:r>
        <w:t xml:space="preserve"> </w:t>
      </w:r>
      <w:r w:rsidRPr="007C5E58">
        <w:t>sector</w:t>
      </w:r>
      <w:r>
        <w:t xml:space="preserve"> </w:t>
      </w:r>
      <w:r w:rsidRPr="007C5E58">
        <w:t>and</w:t>
      </w:r>
      <w:r>
        <w:t xml:space="preserve"> </w:t>
      </w:r>
      <w:r w:rsidRPr="007C5E58">
        <w:t>the</w:t>
      </w:r>
      <w:r>
        <w:t xml:space="preserve"> </w:t>
      </w:r>
      <w:r w:rsidRPr="007C5E58">
        <w:t>overall</w:t>
      </w:r>
      <w:r>
        <w:t xml:space="preserve"> </w:t>
      </w:r>
      <w:r w:rsidRPr="007C5E58">
        <w:t>economy</w:t>
      </w:r>
      <w:r>
        <w:t xml:space="preserve"> </w:t>
      </w:r>
      <w:r w:rsidRPr="007C5E58">
        <w:t>(Figure</w:t>
      </w:r>
      <w:r>
        <w:t xml:space="preserve"> </w:t>
      </w:r>
      <w:r w:rsidRPr="007C5E58">
        <w:t>2).</w:t>
      </w:r>
    </w:p>
    <w:p w14:paraId="78034617" w14:textId="77777777" w:rsidR="007C5E58" w:rsidRPr="007C5E58" w:rsidRDefault="007C5E58" w:rsidP="007C5E58">
      <w:pPr>
        <w:pStyle w:val="TTPParagraphothers"/>
        <w:spacing w:before="120"/>
        <w:ind w:firstLine="0"/>
        <w:jc w:val="center"/>
      </w:pPr>
      <w:r w:rsidRPr="007C5E58">
        <w:rPr>
          <w:b/>
          <w:bCs/>
          <w:noProof/>
          <w:color w:val="000000" w:themeColor="text1"/>
        </w:rPr>
        <w:lastRenderedPageBreak/>
        <w:drawing>
          <wp:inline distT="0" distB="0" distL="0" distR="0" wp14:anchorId="23BD3D92" wp14:editId="74F45C90">
            <wp:extent cx="4701599" cy="2854960"/>
            <wp:effectExtent l="0" t="0" r="3810" b="2540"/>
            <wp:docPr id="98802054" name="图片 2" descr="图表, 图示, 条形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02054" name="图片 2" descr="图表, 图示, 条形图&#10;&#10;描述已自动生成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6"/>
                    <a:stretch/>
                  </pic:blipFill>
                  <pic:spPr bwMode="auto">
                    <a:xfrm>
                      <a:off x="0" y="0"/>
                      <a:ext cx="4718667" cy="2865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A4CA28" w14:textId="4D431193" w:rsidR="007C5E58" w:rsidRPr="007C5E58" w:rsidRDefault="007C5E58" w:rsidP="00A12D89">
      <w:pPr>
        <w:pStyle w:val="TTPParagraphothers"/>
        <w:spacing w:before="60" w:after="60"/>
        <w:ind w:firstLine="0"/>
        <w:jc w:val="center"/>
      </w:pPr>
      <w:r w:rsidRPr="007C5E58">
        <w:rPr>
          <w:b/>
        </w:rPr>
        <w:t>Fig</w:t>
      </w:r>
      <w:r>
        <w:rPr>
          <w:rFonts w:hint="eastAsia"/>
          <w:b/>
          <w:lang w:eastAsia="zh-CN"/>
        </w:rPr>
        <w:t>ure</w:t>
      </w:r>
      <w:r>
        <w:rPr>
          <w:b/>
        </w:rPr>
        <w:t xml:space="preserve"> </w:t>
      </w:r>
      <w:r w:rsidRPr="007C5E58">
        <w:rPr>
          <w:b/>
        </w:rPr>
        <w:t>2</w:t>
      </w:r>
      <w:r>
        <w:rPr>
          <w:rFonts w:hint="eastAsia"/>
          <w:b/>
          <w:lang w:eastAsia="zh-CN"/>
        </w:rPr>
        <w:t>.</w:t>
      </w:r>
      <w:r>
        <w:t xml:space="preserve"> </w:t>
      </w:r>
      <w:r w:rsidRPr="007C5E58">
        <w:t>Forecast</w:t>
      </w:r>
      <w:r>
        <w:t xml:space="preserve"> </w:t>
      </w:r>
      <w:r w:rsidRPr="007C5E58">
        <w:t>for</w:t>
      </w:r>
      <w:r>
        <w:t xml:space="preserve"> </w:t>
      </w:r>
      <w:r w:rsidRPr="007C5E58">
        <w:t>log</w:t>
      </w:r>
      <w:r>
        <w:t xml:space="preserve"> </w:t>
      </w:r>
      <w:r w:rsidRPr="007C5E58">
        <w:t>difference</w:t>
      </w:r>
      <w:r>
        <w:t xml:space="preserve"> </w:t>
      </w:r>
      <w:r w:rsidRPr="007C5E58">
        <w:t>of</w:t>
      </w:r>
      <w:r>
        <w:t xml:space="preserve"> </w:t>
      </w:r>
      <w:r w:rsidRPr="007C5E58">
        <w:t>investment</w:t>
      </w:r>
      <w:r>
        <w:t xml:space="preserve"> </w:t>
      </w:r>
      <w:r w:rsidRPr="007C5E58">
        <w:t>in</w:t>
      </w:r>
      <w:r>
        <w:t xml:space="preserve"> </w:t>
      </w:r>
      <w:r w:rsidRPr="007C5E58">
        <w:t>housing.</w:t>
      </w:r>
    </w:p>
    <w:p w14:paraId="3CEC264A" w14:textId="77777777" w:rsidR="007C5E58" w:rsidRPr="007C5E58" w:rsidRDefault="007C5E58" w:rsidP="007C5E58">
      <w:pPr>
        <w:pStyle w:val="1"/>
        <w:numPr>
          <w:ilvl w:val="0"/>
          <w:numId w:val="9"/>
        </w:numPr>
        <w:ind w:left="420" w:hanging="420"/>
      </w:pPr>
      <w:r w:rsidRPr="007C5E58">
        <w:t>Conclusion</w:t>
      </w:r>
    </w:p>
    <w:p w14:paraId="4A85C2D8" w14:textId="2097126D" w:rsidR="007C5E58" w:rsidRPr="007C5E58" w:rsidRDefault="007C5E58" w:rsidP="007C5E58">
      <w:pPr>
        <w:pStyle w:val="TTPParagraphothers"/>
        <w:ind w:firstLine="284"/>
      </w:pPr>
      <w:r w:rsidRPr="007C5E58">
        <w:t>The</w:t>
      </w:r>
      <w:r>
        <w:t xml:space="preserve"> </w:t>
      </w:r>
      <w:r w:rsidRPr="007C5E58">
        <w:t>dynamic</w:t>
      </w:r>
      <w:r>
        <w:t xml:space="preserve"> </w:t>
      </w:r>
      <w:r w:rsidRPr="007C5E58">
        <w:t>regression</w:t>
      </w:r>
      <w:r>
        <w:t xml:space="preserve"> </w:t>
      </w:r>
      <w:r w:rsidRPr="007C5E58">
        <w:t>model,</w:t>
      </w:r>
      <w:r>
        <w:t xml:space="preserve"> </w:t>
      </w:r>
      <w:r w:rsidRPr="007C5E58">
        <w:t>leveraging</w:t>
      </w:r>
      <w:r>
        <w:t xml:space="preserve"> </w:t>
      </w:r>
      <w:r w:rsidRPr="007C5E58">
        <w:t>ARIMA</w:t>
      </w:r>
      <w:r>
        <w:t xml:space="preserve"> </w:t>
      </w:r>
      <w:r w:rsidRPr="007C5E58">
        <w:t>methodologies,</w:t>
      </w:r>
      <w:r>
        <w:t xml:space="preserve"> </w:t>
      </w:r>
      <w:r w:rsidRPr="007C5E58">
        <w:t>provides</w:t>
      </w:r>
      <w:r>
        <w:t xml:space="preserve"> </w:t>
      </w:r>
      <w:r w:rsidRPr="007C5E58">
        <w:t>a</w:t>
      </w:r>
      <w:r>
        <w:t xml:space="preserve"> </w:t>
      </w:r>
      <w:r w:rsidRPr="007C5E58">
        <w:t>comprehensive</w:t>
      </w:r>
      <w:r>
        <w:t xml:space="preserve"> </w:t>
      </w:r>
      <w:r w:rsidRPr="007C5E58">
        <w:t>review</w:t>
      </w:r>
      <w:r>
        <w:t xml:space="preserve"> </w:t>
      </w:r>
      <w:r w:rsidRPr="007C5E58">
        <w:t>of</w:t>
      </w:r>
      <w:r>
        <w:t xml:space="preserve"> </w:t>
      </w:r>
      <w:r w:rsidRPr="007C5E58">
        <w:t>China's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market,</w:t>
      </w:r>
      <w:r>
        <w:t xml:space="preserve"> </w:t>
      </w:r>
      <w:r w:rsidRPr="007C5E58">
        <w:t>revealing</w:t>
      </w:r>
      <w:r>
        <w:t xml:space="preserve"> </w:t>
      </w:r>
      <w:r w:rsidRPr="007C5E58">
        <w:t>ingrained</w:t>
      </w:r>
      <w:r>
        <w:t xml:space="preserve"> </w:t>
      </w:r>
      <w:r w:rsidRPr="007C5E58">
        <w:t>seasonal</w:t>
      </w:r>
      <w:r>
        <w:t xml:space="preserve"> </w:t>
      </w:r>
      <w:r w:rsidRPr="007C5E58">
        <w:t>investment</w:t>
      </w:r>
      <w:r>
        <w:t xml:space="preserve"> </w:t>
      </w:r>
      <w:r w:rsidRPr="007C5E58">
        <w:t>patterns</w:t>
      </w:r>
      <w:r>
        <w:t xml:space="preserve"> </w:t>
      </w:r>
      <w:r w:rsidRPr="007C5E58">
        <w:t>and</w:t>
      </w:r>
      <w:r>
        <w:t xml:space="preserve"> </w:t>
      </w:r>
      <w:r w:rsidRPr="007C5E58">
        <w:t>predicting</w:t>
      </w:r>
      <w:r>
        <w:t xml:space="preserve"> </w:t>
      </w:r>
      <w:r w:rsidRPr="007C5E58">
        <w:t>sustained</w:t>
      </w:r>
      <w:r>
        <w:t xml:space="preserve"> </w:t>
      </w:r>
      <w:r w:rsidRPr="007C5E58">
        <w:t>cyclical</w:t>
      </w:r>
      <w:r>
        <w:t xml:space="preserve"> </w:t>
      </w:r>
      <w:r w:rsidRPr="007C5E58">
        <w:t>behavior.</w:t>
      </w:r>
      <w:r>
        <w:t xml:space="preserve"> </w:t>
      </w:r>
      <w:r w:rsidRPr="007C5E58">
        <w:t>Notably,</w:t>
      </w:r>
      <w:r>
        <w:t xml:space="preserve"> </w:t>
      </w:r>
      <w:r w:rsidRPr="007C5E58">
        <w:t>it</w:t>
      </w:r>
      <w:r>
        <w:t xml:space="preserve"> </w:t>
      </w:r>
      <w:r w:rsidRPr="007C5E58">
        <w:t>forecasts</w:t>
      </w:r>
      <w:r>
        <w:t xml:space="preserve"> </w:t>
      </w:r>
      <w:r w:rsidRPr="007C5E58">
        <w:t>a</w:t>
      </w:r>
      <w:r>
        <w:t xml:space="preserve"> </w:t>
      </w:r>
      <w:r w:rsidRPr="007C5E58">
        <w:t>significant</w:t>
      </w:r>
      <w:r>
        <w:t xml:space="preserve"> </w:t>
      </w:r>
      <w:r w:rsidRPr="007C5E58">
        <w:t>forthcoming</w:t>
      </w:r>
      <w:r>
        <w:t xml:space="preserve"> </w:t>
      </w:r>
      <w:r w:rsidRPr="007C5E58">
        <w:t>peak</w:t>
      </w:r>
      <w:r>
        <w:t xml:space="preserve"> </w:t>
      </w:r>
      <w:r w:rsidRPr="007C5E58">
        <w:t>in</w:t>
      </w:r>
      <w:r>
        <w:t xml:space="preserve"> </w:t>
      </w:r>
      <w:r w:rsidRPr="007C5E58">
        <w:t>investment</w:t>
      </w:r>
      <w:r>
        <w:t xml:space="preserve"> </w:t>
      </w:r>
      <w:r w:rsidRPr="007C5E58">
        <w:t>activity,</w:t>
      </w:r>
      <w:r>
        <w:t xml:space="preserve"> </w:t>
      </w:r>
      <w:r w:rsidRPr="007C5E58">
        <w:t>although</w:t>
      </w:r>
      <w:r>
        <w:t xml:space="preserve"> </w:t>
      </w:r>
      <w:r w:rsidRPr="007C5E58">
        <w:t>these</w:t>
      </w:r>
      <w:r>
        <w:t xml:space="preserve"> </w:t>
      </w:r>
      <w:r w:rsidRPr="007C5E58">
        <w:t>projections</w:t>
      </w:r>
      <w:r>
        <w:t xml:space="preserve"> </w:t>
      </w:r>
      <w:r w:rsidRPr="007C5E58">
        <w:t>are</w:t>
      </w:r>
      <w:r>
        <w:t xml:space="preserve"> </w:t>
      </w:r>
      <w:r w:rsidRPr="007C5E58">
        <w:t>not</w:t>
      </w:r>
      <w:r>
        <w:t xml:space="preserve"> </w:t>
      </w:r>
      <w:r w:rsidRPr="007C5E58">
        <w:t>without</w:t>
      </w:r>
      <w:r>
        <w:t xml:space="preserve"> </w:t>
      </w:r>
      <w:r w:rsidRPr="007C5E58">
        <w:t>their</w:t>
      </w:r>
      <w:r>
        <w:t xml:space="preserve"> </w:t>
      </w:r>
      <w:r w:rsidRPr="007C5E58">
        <w:t>degree</w:t>
      </w:r>
      <w:r>
        <w:t xml:space="preserve"> </w:t>
      </w:r>
      <w:r w:rsidRPr="007C5E58">
        <w:t>of</w:t>
      </w:r>
      <w:r>
        <w:t xml:space="preserve"> </w:t>
      </w:r>
      <w:r w:rsidRPr="007C5E58">
        <w:t>uncertainty.</w:t>
      </w:r>
      <w:r>
        <w:t xml:space="preserve"> </w:t>
      </w:r>
      <w:r w:rsidRPr="007C5E58">
        <w:t>The</w:t>
      </w:r>
      <w:r>
        <w:t xml:space="preserve"> </w:t>
      </w:r>
      <w:r w:rsidRPr="007C5E58">
        <w:t>model</w:t>
      </w:r>
      <w:r>
        <w:t xml:space="preserve"> </w:t>
      </w:r>
      <w:r w:rsidRPr="007C5E58">
        <w:t>illustrates</w:t>
      </w:r>
      <w:r>
        <w:t xml:space="preserve"> </w:t>
      </w:r>
      <w:r w:rsidRPr="007C5E58">
        <w:t>how</w:t>
      </w:r>
      <w:r>
        <w:t xml:space="preserve"> </w:t>
      </w:r>
      <w:r w:rsidRPr="007C5E58">
        <w:t>investment</w:t>
      </w:r>
      <w:r>
        <w:t xml:space="preserve"> </w:t>
      </w:r>
      <w:r w:rsidRPr="007C5E58">
        <w:t>cycles</w:t>
      </w:r>
      <w:r>
        <w:t xml:space="preserve"> </w:t>
      </w:r>
      <w:r w:rsidRPr="007C5E58">
        <w:t>are</w:t>
      </w:r>
      <w:r>
        <w:t xml:space="preserve"> </w:t>
      </w:r>
      <w:r w:rsidRPr="007C5E58">
        <w:t>shaped</w:t>
      </w:r>
      <w:r>
        <w:t xml:space="preserve"> </w:t>
      </w:r>
      <w:r w:rsidRPr="007C5E58">
        <w:t>by</w:t>
      </w:r>
      <w:r>
        <w:t xml:space="preserve"> </w:t>
      </w:r>
      <w:r w:rsidRPr="007C5E58">
        <w:t>various</w:t>
      </w:r>
      <w:r>
        <w:t xml:space="preserve"> </w:t>
      </w:r>
      <w:r w:rsidRPr="007C5E58">
        <w:t>factors,</w:t>
      </w:r>
      <w:r>
        <w:t xml:space="preserve"> </w:t>
      </w:r>
      <w:r w:rsidRPr="007C5E58">
        <w:t>including</w:t>
      </w:r>
      <w:r>
        <w:t xml:space="preserve"> </w:t>
      </w:r>
      <w:r w:rsidRPr="007C5E58">
        <w:t>production</w:t>
      </w:r>
      <w:r>
        <w:t xml:space="preserve"> </w:t>
      </w:r>
      <w:r w:rsidRPr="007C5E58">
        <w:t>levels</w:t>
      </w:r>
      <w:r>
        <w:t xml:space="preserve"> </w:t>
      </w:r>
      <w:r w:rsidRPr="007C5E58">
        <w:t>of</w:t>
      </w:r>
      <w:r>
        <w:t xml:space="preserve"> </w:t>
      </w:r>
      <w:r w:rsidRPr="007C5E58">
        <w:t>cement,</w:t>
      </w:r>
      <w:r>
        <w:t xml:space="preserve"> </w:t>
      </w:r>
      <w:r w:rsidRPr="007C5E58">
        <w:t>steel,</w:t>
      </w:r>
      <w:r>
        <w:t xml:space="preserve"> </w:t>
      </w:r>
      <w:r w:rsidRPr="007C5E58">
        <w:t>aluminum,</w:t>
      </w:r>
      <w:r>
        <w:t xml:space="preserve"> </w:t>
      </w:r>
      <w:r w:rsidRPr="007C5E58">
        <w:t>the</w:t>
      </w:r>
      <w:r>
        <w:t xml:space="preserve"> </w:t>
      </w:r>
      <w:r w:rsidRPr="007C5E58">
        <w:t>availability</w:t>
      </w:r>
      <w:r>
        <w:t xml:space="preserve"> </w:t>
      </w:r>
      <w:r w:rsidRPr="007C5E58">
        <w:t>of</w:t>
      </w:r>
      <w:r>
        <w:t xml:space="preserve"> </w:t>
      </w:r>
      <w:r w:rsidRPr="007C5E58">
        <w:t>monetary</w:t>
      </w:r>
      <w:r>
        <w:t xml:space="preserve"> </w:t>
      </w:r>
      <w:r w:rsidRPr="007C5E58">
        <w:t>supply,</w:t>
      </w:r>
      <w:r>
        <w:t xml:space="preserve"> </w:t>
      </w:r>
      <w:r w:rsidRPr="007C5E58">
        <w:t>and</w:t>
      </w:r>
      <w:r>
        <w:t xml:space="preserve"> </w:t>
      </w:r>
      <w:r w:rsidRPr="007C5E58">
        <w:t>housing</w:t>
      </w:r>
      <w:r>
        <w:t xml:space="preserve"> </w:t>
      </w:r>
      <w:r w:rsidRPr="007C5E58">
        <w:t>sales</w:t>
      </w:r>
      <w:r>
        <w:t xml:space="preserve"> </w:t>
      </w:r>
      <w:r w:rsidRPr="007C5E58">
        <w:t>data.</w:t>
      </w:r>
      <w:r>
        <w:t xml:space="preserve"> </w:t>
      </w:r>
      <w:r w:rsidRPr="007C5E58">
        <w:t>These</w:t>
      </w:r>
      <w:r>
        <w:t xml:space="preserve"> </w:t>
      </w:r>
      <w:r w:rsidRPr="007C5E58">
        <w:t>elements,</w:t>
      </w:r>
      <w:r>
        <w:t xml:space="preserve"> </w:t>
      </w:r>
      <w:r w:rsidRPr="007C5E58">
        <w:t>indicative</w:t>
      </w:r>
      <w:r>
        <w:t xml:space="preserve"> </w:t>
      </w:r>
      <w:r w:rsidRPr="007C5E58">
        <w:t>of</w:t>
      </w:r>
      <w:r>
        <w:t xml:space="preserve"> </w:t>
      </w:r>
      <w:r w:rsidRPr="007C5E58">
        <w:t>market</w:t>
      </w:r>
      <w:r>
        <w:t xml:space="preserve"> </w:t>
      </w:r>
      <w:r w:rsidRPr="007C5E58">
        <w:t>stability,</w:t>
      </w:r>
      <w:r>
        <w:t xml:space="preserve"> </w:t>
      </w:r>
      <w:r w:rsidRPr="007C5E58">
        <w:t>also</w:t>
      </w:r>
      <w:r>
        <w:t xml:space="preserve"> </w:t>
      </w:r>
      <w:r w:rsidRPr="007C5E58">
        <w:t>hint</w:t>
      </w:r>
      <w:r>
        <w:t xml:space="preserve"> </w:t>
      </w:r>
      <w:r w:rsidRPr="007C5E58">
        <w:t>at</w:t>
      </w:r>
      <w:r>
        <w:t xml:space="preserve"> </w:t>
      </w:r>
      <w:r w:rsidRPr="007C5E58">
        <w:t>a</w:t>
      </w:r>
      <w:r>
        <w:t xml:space="preserve"> </w:t>
      </w:r>
      <w:r w:rsidRPr="007C5E58">
        <w:t>looming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bubble,</w:t>
      </w:r>
      <w:r>
        <w:t xml:space="preserve"> </w:t>
      </w:r>
      <w:r w:rsidRPr="007C5E58">
        <w:t>potentially</w:t>
      </w:r>
      <w:r>
        <w:t xml:space="preserve"> </w:t>
      </w:r>
      <w:r w:rsidRPr="007C5E58">
        <w:t>inflated</w:t>
      </w:r>
      <w:r>
        <w:t xml:space="preserve"> </w:t>
      </w:r>
      <w:r w:rsidRPr="007C5E58">
        <w:t>by</w:t>
      </w:r>
      <w:r>
        <w:t xml:space="preserve"> </w:t>
      </w:r>
      <w:r w:rsidRPr="007C5E58">
        <w:t>erratic</w:t>
      </w:r>
      <w:r>
        <w:t xml:space="preserve"> </w:t>
      </w:r>
      <w:r w:rsidRPr="007C5E58">
        <w:t>demand</w:t>
      </w:r>
      <w:r>
        <w:t xml:space="preserve"> </w:t>
      </w:r>
      <w:r w:rsidRPr="007C5E58">
        <w:t>and</w:t>
      </w:r>
      <w:r>
        <w:t xml:space="preserve"> </w:t>
      </w:r>
      <w:r w:rsidRPr="007C5E58">
        <w:t>demographic</w:t>
      </w:r>
      <w:r>
        <w:t xml:space="preserve"> </w:t>
      </w:r>
      <w:r w:rsidRPr="007C5E58">
        <w:t>shifts.</w:t>
      </w:r>
    </w:p>
    <w:p w14:paraId="0890A9C5" w14:textId="609BEFB5" w:rsidR="007C5E58" w:rsidRPr="007C5E58" w:rsidRDefault="007C5E58" w:rsidP="007C5E58">
      <w:pPr>
        <w:pStyle w:val="TTPParagraphothers"/>
        <w:ind w:firstLine="284"/>
      </w:pPr>
      <w:r w:rsidRPr="007C5E58">
        <w:t>The</w:t>
      </w:r>
      <w:r>
        <w:t xml:space="preserve"> </w:t>
      </w:r>
      <w:r w:rsidRPr="007C5E58">
        <w:t>model’s</w:t>
      </w:r>
      <w:r>
        <w:t xml:space="preserve"> </w:t>
      </w:r>
      <w:r w:rsidRPr="007C5E58">
        <w:t>forecasts</w:t>
      </w:r>
      <w:r>
        <w:t xml:space="preserve"> </w:t>
      </w:r>
      <w:r w:rsidRPr="007C5E58">
        <w:t>underscore</w:t>
      </w:r>
      <w:r>
        <w:t xml:space="preserve"> </w:t>
      </w:r>
      <w:r w:rsidRPr="007C5E58">
        <w:t>the</w:t>
      </w:r>
      <w:r>
        <w:t xml:space="preserve"> </w:t>
      </w:r>
      <w:r w:rsidRPr="007C5E58">
        <w:t>necessity</w:t>
      </w:r>
      <w:r>
        <w:t xml:space="preserve"> </w:t>
      </w:r>
      <w:r w:rsidRPr="007C5E58">
        <w:t>for</w:t>
      </w:r>
      <w:r>
        <w:t xml:space="preserve"> </w:t>
      </w:r>
      <w:r w:rsidRPr="007C5E58">
        <w:t>incorporating</w:t>
      </w:r>
      <w:r>
        <w:t xml:space="preserve"> </w:t>
      </w:r>
      <w:r w:rsidRPr="007C5E58">
        <w:t>seasonal</w:t>
      </w:r>
      <w:r>
        <w:t xml:space="preserve"> </w:t>
      </w:r>
      <w:r w:rsidRPr="007C5E58">
        <w:t>influences</w:t>
      </w:r>
      <w:r>
        <w:t xml:space="preserve"> </w:t>
      </w:r>
      <w:r w:rsidRPr="007C5E58">
        <w:t>such</w:t>
      </w:r>
      <w:r>
        <w:t xml:space="preserve"> </w:t>
      </w:r>
      <w:r w:rsidRPr="007C5E58">
        <w:t>as</w:t>
      </w:r>
      <w:r>
        <w:t xml:space="preserve"> </w:t>
      </w:r>
      <w:r w:rsidRPr="007C5E58">
        <w:t>climatic</w:t>
      </w:r>
      <w:r>
        <w:t xml:space="preserve"> </w:t>
      </w:r>
      <w:r w:rsidRPr="007C5E58">
        <w:t>variations</w:t>
      </w:r>
      <w:r>
        <w:t xml:space="preserve"> </w:t>
      </w:r>
      <w:r w:rsidRPr="007C5E58">
        <w:t>and</w:t>
      </w:r>
      <w:r>
        <w:t xml:space="preserve"> </w:t>
      </w:r>
      <w:r w:rsidRPr="007C5E58">
        <w:t>holiday</w:t>
      </w:r>
      <w:r>
        <w:t xml:space="preserve"> </w:t>
      </w:r>
      <w:r w:rsidRPr="007C5E58">
        <w:t>periods</w:t>
      </w:r>
      <w:r>
        <w:t xml:space="preserve"> </w:t>
      </w:r>
      <w:r w:rsidRPr="007C5E58">
        <w:t>to</w:t>
      </w:r>
      <w:r>
        <w:t xml:space="preserve"> </w:t>
      </w:r>
      <w:r w:rsidRPr="007C5E58">
        <w:t>more</w:t>
      </w:r>
      <w:r>
        <w:t xml:space="preserve"> </w:t>
      </w:r>
      <w:r w:rsidRPr="007C5E58">
        <w:t>accurately</w:t>
      </w:r>
      <w:r>
        <w:t xml:space="preserve"> </w:t>
      </w:r>
      <w:r w:rsidRPr="007C5E58">
        <w:t>assess</w:t>
      </w:r>
      <w:r>
        <w:t xml:space="preserve"> </w:t>
      </w:r>
      <w:r w:rsidRPr="007C5E58">
        <w:t>future</w:t>
      </w:r>
      <w:r>
        <w:t xml:space="preserve"> </w:t>
      </w:r>
      <w:r w:rsidRPr="007C5E58">
        <w:t>market</w:t>
      </w:r>
      <w:r>
        <w:t xml:space="preserve"> </w:t>
      </w:r>
      <w:r w:rsidRPr="007C5E58">
        <w:t>tendencies.</w:t>
      </w:r>
      <w:r>
        <w:t xml:space="preserve"> </w:t>
      </w:r>
      <w:r w:rsidRPr="007C5E58">
        <w:t>Furthermore,</w:t>
      </w:r>
      <w:r>
        <w:t xml:space="preserve"> </w:t>
      </w:r>
      <w:r w:rsidRPr="007C5E58">
        <w:t>it</w:t>
      </w:r>
      <w:r>
        <w:t xml:space="preserve"> </w:t>
      </w:r>
      <w:r w:rsidRPr="007C5E58">
        <w:t>sheds</w:t>
      </w:r>
      <w:r>
        <w:t xml:space="preserve"> </w:t>
      </w:r>
      <w:r w:rsidRPr="007C5E58">
        <w:t>light</w:t>
      </w:r>
      <w:r>
        <w:t xml:space="preserve"> </w:t>
      </w:r>
      <w:r w:rsidRPr="007C5E58">
        <w:t>on</w:t>
      </w:r>
      <w:r>
        <w:t xml:space="preserve"> </w:t>
      </w:r>
      <w:r w:rsidRPr="007C5E58">
        <w:t>the</w:t>
      </w:r>
      <w:r>
        <w:t xml:space="preserve"> </w:t>
      </w:r>
      <w:r w:rsidRPr="007C5E58">
        <w:t>potential</w:t>
      </w:r>
      <w:r>
        <w:t xml:space="preserve"> </w:t>
      </w:r>
      <w:r w:rsidRPr="007C5E58">
        <w:t>impact</w:t>
      </w:r>
      <w:r>
        <w:t xml:space="preserve"> </w:t>
      </w:r>
      <w:r w:rsidRPr="007C5E58">
        <w:t>of</w:t>
      </w:r>
      <w:r>
        <w:t xml:space="preserve"> </w:t>
      </w:r>
      <w:r w:rsidRPr="007C5E58">
        <w:t>variables</w:t>
      </w:r>
      <w:r>
        <w:t xml:space="preserve"> </w:t>
      </w:r>
      <w:r w:rsidRPr="007C5E58">
        <w:t>not</w:t>
      </w:r>
      <w:r>
        <w:t xml:space="preserve"> </w:t>
      </w:r>
      <w:r w:rsidRPr="007C5E58">
        <w:t>thoroughly</w:t>
      </w:r>
      <w:r>
        <w:t xml:space="preserve"> </w:t>
      </w:r>
      <w:r w:rsidRPr="007C5E58">
        <w:t>considered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current</w:t>
      </w:r>
      <w:r>
        <w:t xml:space="preserve"> </w:t>
      </w:r>
      <w:r w:rsidRPr="007C5E58">
        <w:t>model,</w:t>
      </w:r>
      <w:r>
        <w:t xml:space="preserve"> </w:t>
      </w:r>
      <w:r w:rsidRPr="007C5E58">
        <w:t>like</w:t>
      </w:r>
      <w:r>
        <w:t xml:space="preserve"> </w:t>
      </w:r>
      <w:r w:rsidRPr="007C5E58">
        <w:t>birth</w:t>
      </w:r>
      <w:r>
        <w:t xml:space="preserve"> </w:t>
      </w:r>
      <w:r w:rsidRPr="007C5E58">
        <w:t>rates,</w:t>
      </w:r>
      <w:r>
        <w:t xml:space="preserve"> </w:t>
      </w:r>
      <w:r w:rsidRPr="007C5E58">
        <w:t>per</w:t>
      </w:r>
      <w:r>
        <w:t xml:space="preserve"> </w:t>
      </w:r>
      <w:r w:rsidRPr="007C5E58">
        <w:t>capita</w:t>
      </w:r>
      <w:r>
        <w:t xml:space="preserve"> </w:t>
      </w:r>
      <w:r w:rsidRPr="007C5E58">
        <w:t>GDP,</w:t>
      </w:r>
      <w:r>
        <w:t xml:space="preserve"> </w:t>
      </w:r>
      <w:r w:rsidRPr="007C5E58">
        <w:t>loan</w:t>
      </w:r>
      <w:r>
        <w:t xml:space="preserve"> </w:t>
      </w:r>
      <w:r w:rsidRPr="007C5E58">
        <w:t>amounts,</w:t>
      </w:r>
      <w:r>
        <w:t xml:space="preserve"> </w:t>
      </w:r>
      <w:r w:rsidRPr="007C5E58">
        <w:t>energy</w:t>
      </w:r>
      <w:r>
        <w:t xml:space="preserve"> </w:t>
      </w:r>
      <w:r w:rsidRPr="007C5E58">
        <w:t>costs,</w:t>
      </w:r>
      <w:r>
        <w:t xml:space="preserve"> </w:t>
      </w:r>
      <w:r w:rsidRPr="007C5E58">
        <w:t>and</w:t>
      </w:r>
      <w:r>
        <w:t xml:space="preserve"> </w:t>
      </w:r>
      <w:r w:rsidRPr="007C5E58">
        <w:t>average</w:t>
      </w:r>
      <w:r>
        <w:t xml:space="preserve"> </w:t>
      </w:r>
      <w:r w:rsidRPr="007C5E58">
        <w:t>earnings,</w:t>
      </w:r>
      <w:r>
        <w:t xml:space="preserve"> </w:t>
      </w:r>
      <w:r w:rsidRPr="007C5E58">
        <w:t>suggesting</w:t>
      </w:r>
      <w:r>
        <w:t xml:space="preserve"> </w:t>
      </w:r>
      <w:r w:rsidRPr="007C5E58">
        <w:t>that</w:t>
      </w:r>
      <w:r>
        <w:t xml:space="preserve"> </w:t>
      </w:r>
      <w:r w:rsidRPr="007C5E58">
        <w:t>these</w:t>
      </w:r>
      <w:r>
        <w:t xml:space="preserve"> </w:t>
      </w:r>
      <w:r w:rsidRPr="007C5E58">
        <w:t>factors</w:t>
      </w:r>
      <w:r>
        <w:t xml:space="preserve"> </w:t>
      </w:r>
      <w:r w:rsidRPr="007C5E58">
        <w:t>could</w:t>
      </w:r>
      <w:r>
        <w:t xml:space="preserve"> </w:t>
      </w:r>
      <w:r w:rsidRPr="007C5E58">
        <w:t>significantly</w:t>
      </w:r>
      <w:r>
        <w:t xml:space="preserve"> </w:t>
      </w:r>
      <w:r w:rsidRPr="007C5E58">
        <w:t>refine</w:t>
      </w:r>
      <w:r>
        <w:t xml:space="preserve"> </w:t>
      </w:r>
      <w:r w:rsidRPr="007C5E58">
        <w:t>future</w:t>
      </w:r>
      <w:r>
        <w:t xml:space="preserve"> </w:t>
      </w:r>
      <w:r w:rsidRPr="007C5E58">
        <w:t>predictions.</w:t>
      </w:r>
    </w:p>
    <w:p w14:paraId="30CDA11E" w14:textId="6C6E2EEA" w:rsidR="007C5E58" w:rsidRPr="007C5E58" w:rsidRDefault="007C5E58" w:rsidP="007C5E58">
      <w:pPr>
        <w:pStyle w:val="TTPParagraphothers"/>
        <w:ind w:firstLine="284"/>
      </w:pPr>
      <w:r w:rsidRPr="007C5E58">
        <w:t>Acknowledging</w:t>
      </w:r>
      <w:r>
        <w:t xml:space="preserve"> </w:t>
      </w:r>
      <w:r w:rsidRPr="007C5E58">
        <w:t>the</w:t>
      </w:r>
      <w:r>
        <w:t xml:space="preserve"> </w:t>
      </w:r>
      <w:r w:rsidRPr="007C5E58">
        <w:t>inherent</w:t>
      </w:r>
      <w:r>
        <w:t xml:space="preserve"> </w:t>
      </w:r>
      <w:r w:rsidRPr="007C5E58">
        <w:t>uncertainties</w:t>
      </w:r>
      <w:r>
        <w:t xml:space="preserve"> </w:t>
      </w:r>
      <w:r w:rsidRPr="007C5E58">
        <w:t>within</w:t>
      </w:r>
      <w:r>
        <w:t xml:space="preserve"> </w:t>
      </w:r>
      <w:r w:rsidRPr="007C5E58">
        <w:t>dynamic</w:t>
      </w:r>
      <w:r>
        <w:t xml:space="preserve"> </w:t>
      </w:r>
      <w:r w:rsidRPr="007C5E58">
        <w:t>regression</w:t>
      </w:r>
      <w:r>
        <w:t xml:space="preserve"> </w:t>
      </w:r>
      <w:r w:rsidRPr="007C5E58">
        <w:t>modeling,</w:t>
      </w:r>
      <w:r>
        <w:t xml:space="preserve"> </w:t>
      </w:r>
      <w:r w:rsidRPr="007C5E58">
        <w:t>this</w:t>
      </w:r>
      <w:r>
        <w:t xml:space="preserve"> </w:t>
      </w:r>
      <w:r w:rsidRPr="007C5E58">
        <w:t>paper’s</w:t>
      </w:r>
      <w:r>
        <w:t xml:space="preserve"> </w:t>
      </w:r>
      <w:r w:rsidRPr="007C5E58">
        <w:t>findings</w:t>
      </w:r>
      <w:r>
        <w:t xml:space="preserve"> </w:t>
      </w:r>
      <w:r w:rsidRPr="007C5E58">
        <w:t>support</w:t>
      </w:r>
      <w:r>
        <w:t xml:space="preserve"> </w:t>
      </w:r>
      <w:r w:rsidRPr="007C5E58">
        <w:t>the</w:t>
      </w:r>
      <w:r>
        <w:t xml:space="preserve"> </w:t>
      </w:r>
      <w:r w:rsidRPr="007C5E58">
        <w:t>strategic</w:t>
      </w:r>
      <w:r>
        <w:t xml:space="preserve"> </w:t>
      </w:r>
      <w:r w:rsidRPr="007C5E58">
        <w:t>use</w:t>
      </w:r>
      <w:r>
        <w:t xml:space="preserve"> </w:t>
      </w:r>
      <w:r w:rsidRPr="007C5E58">
        <w:t>of</w:t>
      </w:r>
      <w:r>
        <w:t xml:space="preserve"> </w:t>
      </w:r>
      <w:r w:rsidRPr="007C5E58">
        <w:t>such</w:t>
      </w:r>
      <w:r>
        <w:t xml:space="preserve"> </w:t>
      </w:r>
      <w:r w:rsidRPr="007C5E58">
        <w:t>models</w:t>
      </w:r>
      <w:r>
        <w:t xml:space="preserve"> </w:t>
      </w:r>
      <w:r w:rsidRPr="007C5E58">
        <w:t>for</w:t>
      </w:r>
      <w:r>
        <w:t xml:space="preserve"> </w:t>
      </w:r>
      <w:r w:rsidRPr="007C5E58">
        <w:t>future</w:t>
      </w:r>
      <w:r>
        <w:t xml:space="preserve"> </w:t>
      </w:r>
      <w:r w:rsidRPr="007C5E58">
        <w:t>forecasting.</w:t>
      </w:r>
      <w:r>
        <w:t xml:space="preserve"> </w:t>
      </w:r>
      <w:r w:rsidRPr="007C5E58">
        <w:t>Based</w:t>
      </w:r>
      <w:r>
        <w:t xml:space="preserve"> </w:t>
      </w:r>
      <w:r w:rsidRPr="007C5E58">
        <w:t>on</w:t>
      </w:r>
      <w:r>
        <w:t xml:space="preserve"> </w:t>
      </w:r>
      <w:r w:rsidRPr="007C5E58">
        <w:t>the</w:t>
      </w:r>
      <w:r>
        <w:t xml:space="preserve"> </w:t>
      </w:r>
      <w:r w:rsidRPr="007C5E58">
        <w:t>anticipated</w:t>
      </w:r>
      <w:r>
        <w:t xml:space="preserve"> </w:t>
      </w:r>
      <w:r w:rsidRPr="007C5E58">
        <w:t>accuracy</w:t>
      </w:r>
      <w:r>
        <w:t xml:space="preserve"> </w:t>
      </w:r>
      <w:r w:rsidRPr="007C5E58">
        <w:t>of</w:t>
      </w:r>
      <w:r>
        <w:t xml:space="preserve"> </w:t>
      </w:r>
      <w:r w:rsidRPr="007C5E58">
        <w:t>these</w:t>
      </w:r>
      <w:r>
        <w:t xml:space="preserve"> </w:t>
      </w:r>
      <w:r w:rsidRPr="007C5E58">
        <w:t>projections,</w:t>
      </w:r>
      <w:r>
        <w:t xml:space="preserve"> </w:t>
      </w:r>
      <w:r w:rsidRPr="007C5E58">
        <w:t>the</w:t>
      </w:r>
      <w:r>
        <w:t xml:space="preserve"> </w:t>
      </w:r>
      <w:r w:rsidRPr="007C5E58">
        <w:t>author</w:t>
      </w:r>
      <w:r>
        <w:t xml:space="preserve"> </w:t>
      </w:r>
      <w:r w:rsidRPr="007C5E58">
        <w:t>advocate</w:t>
      </w:r>
      <w:r w:rsidRPr="007C5E58">
        <w:rPr>
          <w:lang w:eastAsia="zh-CN"/>
        </w:rPr>
        <w:t>s</w:t>
      </w:r>
      <w:r>
        <w:t xml:space="preserve"> </w:t>
      </w:r>
      <w:r w:rsidRPr="007C5E58">
        <w:t>for</w:t>
      </w:r>
      <w:r>
        <w:t xml:space="preserve"> </w:t>
      </w:r>
      <w:r w:rsidRPr="007C5E58">
        <w:t>governmental</w:t>
      </w:r>
      <w:r>
        <w:t xml:space="preserve"> </w:t>
      </w:r>
      <w:r w:rsidRPr="007C5E58">
        <w:t>measures</w:t>
      </w:r>
      <w:r>
        <w:t xml:space="preserve"> </w:t>
      </w:r>
      <w:r w:rsidRPr="007C5E58">
        <w:t>to</w:t>
      </w:r>
      <w:r>
        <w:t xml:space="preserve"> </w:t>
      </w:r>
      <w:r w:rsidRPr="007C5E58">
        <w:t>foster</w:t>
      </w:r>
      <w:r>
        <w:t xml:space="preserve"> </w:t>
      </w:r>
      <w:r w:rsidRPr="007C5E58">
        <w:t>a</w:t>
      </w:r>
      <w:r>
        <w:t xml:space="preserve"> </w:t>
      </w:r>
      <w:r w:rsidRPr="007C5E58">
        <w:t>stable</w:t>
      </w:r>
      <w:r>
        <w:t xml:space="preserve"> </w:t>
      </w:r>
      <w:r w:rsidRPr="007C5E58">
        <w:t>demand</w:t>
      </w:r>
      <w:r>
        <w:t xml:space="preserve"> </w:t>
      </w:r>
      <w:r w:rsidRPr="007C5E58">
        <w:t>within</w:t>
      </w:r>
      <w:r>
        <w:t xml:space="preserve"> </w:t>
      </w:r>
      <w:r w:rsidRPr="007C5E58">
        <w:t>the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market</w:t>
      </w:r>
      <w:r>
        <w:t xml:space="preserve"> </w:t>
      </w:r>
      <w:r w:rsidRPr="007C5E58">
        <w:t>to</w:t>
      </w:r>
      <w:r>
        <w:t xml:space="preserve"> </w:t>
      </w:r>
      <w:r w:rsidRPr="007C5E58">
        <w:t>prevent</w:t>
      </w:r>
      <w:r>
        <w:t xml:space="preserve"> </w:t>
      </w:r>
      <w:r w:rsidRPr="007C5E58">
        <w:t>the</w:t>
      </w:r>
      <w:r>
        <w:t xml:space="preserve"> </w:t>
      </w:r>
      <w:r w:rsidRPr="007C5E58">
        <w:t>perilous</w:t>
      </w:r>
      <w:r>
        <w:t xml:space="preserve"> </w:t>
      </w:r>
      <w:r w:rsidRPr="007C5E58">
        <w:t>consequences</w:t>
      </w:r>
      <w:r>
        <w:t xml:space="preserve"> </w:t>
      </w:r>
      <w:r w:rsidRPr="007C5E58">
        <w:t>of</w:t>
      </w:r>
      <w:r>
        <w:t xml:space="preserve"> </w:t>
      </w:r>
      <w:r w:rsidRPr="007C5E58">
        <w:t>a</w:t>
      </w:r>
      <w:r>
        <w:t xml:space="preserve"> </w:t>
      </w:r>
      <w:r w:rsidRPr="007C5E58">
        <w:t>bubble</w:t>
      </w:r>
      <w:r>
        <w:t xml:space="preserve"> </w:t>
      </w:r>
      <w:r w:rsidRPr="007C5E58">
        <w:t>burst.</w:t>
      </w:r>
      <w:r>
        <w:t xml:space="preserve"> </w:t>
      </w:r>
      <w:r w:rsidRPr="007C5E58">
        <w:t>Proposed</w:t>
      </w:r>
      <w:r>
        <w:t xml:space="preserve"> </w:t>
      </w:r>
      <w:r w:rsidRPr="007C5E58">
        <w:t>short-term</w:t>
      </w:r>
      <w:r>
        <w:t xml:space="preserve"> </w:t>
      </w:r>
      <w:r w:rsidRPr="007C5E58">
        <w:t>interventions</w:t>
      </w:r>
      <w:r>
        <w:t xml:space="preserve"> </w:t>
      </w:r>
      <w:r w:rsidRPr="007C5E58">
        <w:t>include</w:t>
      </w:r>
      <w:r>
        <w:t xml:space="preserve"> </w:t>
      </w:r>
      <w:r w:rsidRPr="007C5E58">
        <w:t>easing</w:t>
      </w:r>
      <w:r>
        <w:t xml:space="preserve"> </w:t>
      </w:r>
      <w:r w:rsidRPr="007C5E58">
        <w:t>restrictions</w:t>
      </w:r>
      <w:r>
        <w:t xml:space="preserve"> </w:t>
      </w:r>
      <w:r w:rsidRPr="007C5E58">
        <w:t>on</w:t>
      </w:r>
      <w:r>
        <w:t xml:space="preserve"> </w:t>
      </w:r>
      <w:r w:rsidRPr="007C5E58">
        <w:t>urban</w:t>
      </w:r>
      <w:r>
        <w:t xml:space="preserve"> </w:t>
      </w:r>
      <w:r w:rsidRPr="007C5E58">
        <w:t>property</w:t>
      </w:r>
      <w:r>
        <w:t xml:space="preserve"> </w:t>
      </w:r>
      <w:r w:rsidRPr="007C5E58">
        <w:t>purchases,</w:t>
      </w:r>
      <w:r>
        <w:t xml:space="preserve"> </w:t>
      </w:r>
      <w:r w:rsidRPr="007C5E58">
        <w:t>incentivizing</w:t>
      </w:r>
      <w:r>
        <w:t xml:space="preserve"> </w:t>
      </w:r>
      <w:r w:rsidRPr="007C5E58">
        <w:t>home</w:t>
      </w:r>
      <w:r>
        <w:t xml:space="preserve"> </w:t>
      </w:r>
      <w:r w:rsidRPr="007C5E58">
        <w:t>acquisition</w:t>
      </w:r>
      <w:r>
        <w:t xml:space="preserve"> </w:t>
      </w:r>
      <w:r w:rsidRPr="007C5E58">
        <w:t>in</w:t>
      </w:r>
      <w:r>
        <w:t xml:space="preserve"> </w:t>
      </w:r>
      <w:r w:rsidRPr="007C5E58">
        <w:t>smaller</w:t>
      </w:r>
      <w:r>
        <w:t xml:space="preserve"> </w:t>
      </w:r>
      <w:r w:rsidRPr="007C5E58">
        <w:t>cities,</w:t>
      </w:r>
      <w:r>
        <w:t xml:space="preserve"> </w:t>
      </w:r>
      <w:r w:rsidRPr="007C5E58">
        <w:t>and</w:t>
      </w:r>
      <w:r>
        <w:t xml:space="preserve"> </w:t>
      </w:r>
      <w:r w:rsidRPr="007C5E58">
        <w:t>reducing</w:t>
      </w:r>
      <w:r>
        <w:t xml:space="preserve"> </w:t>
      </w:r>
      <w:r w:rsidRPr="007C5E58">
        <w:t>loan</w:t>
      </w:r>
      <w:r>
        <w:t xml:space="preserve"> </w:t>
      </w:r>
      <w:r w:rsidRPr="007C5E58">
        <w:t>down</w:t>
      </w:r>
      <w:r>
        <w:t xml:space="preserve"> </w:t>
      </w:r>
      <w:r w:rsidRPr="007C5E58">
        <w:t>payment</w:t>
      </w:r>
      <w:r>
        <w:t xml:space="preserve"> </w:t>
      </w:r>
      <w:r w:rsidRPr="007C5E58">
        <w:t>ratios</w:t>
      </w:r>
      <w:r>
        <w:t xml:space="preserve"> </w:t>
      </w:r>
      <w:r w:rsidRPr="007C5E58">
        <w:t>to</w:t>
      </w:r>
      <w:r>
        <w:t xml:space="preserve"> </w:t>
      </w:r>
      <w:r w:rsidRPr="007C5E58">
        <w:t>stimulate</w:t>
      </w:r>
      <w:r>
        <w:t xml:space="preserve"> </w:t>
      </w:r>
      <w:r w:rsidRPr="007C5E58">
        <w:t>the</w:t>
      </w:r>
      <w:r>
        <w:t xml:space="preserve"> </w:t>
      </w:r>
      <w:r w:rsidRPr="007C5E58">
        <w:t>market.</w:t>
      </w:r>
    </w:p>
    <w:p w14:paraId="5BAAB85D" w14:textId="52D5AD6E" w:rsidR="007C5E58" w:rsidRPr="007C5E58" w:rsidRDefault="007C5E58" w:rsidP="007C5E58">
      <w:pPr>
        <w:pStyle w:val="TTPParagraphothers"/>
        <w:ind w:firstLine="284"/>
      </w:pPr>
      <w:r w:rsidRPr="007C5E58">
        <w:t>For</w:t>
      </w:r>
      <w:r>
        <w:t xml:space="preserve"> </w:t>
      </w:r>
      <w:r w:rsidRPr="007C5E58">
        <w:t>long-term</w:t>
      </w:r>
      <w:r>
        <w:t xml:space="preserve"> </w:t>
      </w:r>
      <w:r w:rsidRPr="007C5E58">
        <w:t>market</w:t>
      </w:r>
      <w:r>
        <w:t xml:space="preserve"> </w:t>
      </w:r>
      <w:r w:rsidRPr="007C5E58">
        <w:t>stability,</w:t>
      </w:r>
      <w:r>
        <w:t xml:space="preserve"> </w:t>
      </w:r>
      <w:r w:rsidRPr="007C5E58">
        <w:t>the</w:t>
      </w:r>
      <w:r>
        <w:t xml:space="preserve"> </w:t>
      </w:r>
      <w:r w:rsidRPr="007C5E58">
        <w:t>model</w:t>
      </w:r>
      <w:r>
        <w:t xml:space="preserve"> </w:t>
      </w:r>
      <w:r w:rsidRPr="007C5E58">
        <w:t>encourages</w:t>
      </w:r>
      <w:r>
        <w:t xml:space="preserve"> </w:t>
      </w:r>
      <w:r w:rsidRPr="007C5E58">
        <w:t>initiatives</w:t>
      </w:r>
      <w:r>
        <w:t xml:space="preserve"> </w:t>
      </w:r>
      <w:r w:rsidRPr="007C5E58">
        <w:t>to</w:t>
      </w:r>
      <w:r>
        <w:t xml:space="preserve"> </w:t>
      </w:r>
      <w:r w:rsidRPr="007C5E58">
        <w:t>promote</w:t>
      </w:r>
      <w:r>
        <w:t xml:space="preserve"> </w:t>
      </w:r>
      <w:r w:rsidRPr="007C5E58">
        <w:t>population</w:t>
      </w:r>
      <w:r>
        <w:t xml:space="preserve"> </w:t>
      </w:r>
      <w:r w:rsidRPr="007C5E58">
        <w:t>growth</w:t>
      </w:r>
      <w:r>
        <w:t xml:space="preserve"> </w:t>
      </w:r>
      <w:r w:rsidRPr="007C5E58">
        <w:t>and</w:t>
      </w:r>
      <w:r>
        <w:t xml:space="preserve"> </w:t>
      </w:r>
      <w:r w:rsidRPr="007C5E58">
        <w:t>adapt</w:t>
      </w:r>
      <w:r>
        <w:t xml:space="preserve"> </w:t>
      </w:r>
      <w:r w:rsidRPr="007C5E58">
        <w:t>housing</w:t>
      </w:r>
      <w:r>
        <w:t xml:space="preserve"> </w:t>
      </w:r>
      <w:r w:rsidRPr="007C5E58">
        <w:t>constructions</w:t>
      </w:r>
      <w:r>
        <w:t xml:space="preserve"> </w:t>
      </w:r>
      <w:r w:rsidRPr="007C5E58">
        <w:t>to</w:t>
      </w:r>
      <w:r>
        <w:t xml:space="preserve"> </w:t>
      </w:r>
      <w:r w:rsidRPr="007C5E58">
        <w:t>cater</w:t>
      </w:r>
      <w:r>
        <w:t xml:space="preserve"> </w:t>
      </w:r>
      <w:r w:rsidRPr="007C5E58">
        <w:t>to</w:t>
      </w:r>
      <w:r>
        <w:t xml:space="preserve"> </w:t>
      </w:r>
      <w:r w:rsidRPr="007C5E58">
        <w:t>the</w:t>
      </w:r>
      <w:r>
        <w:t xml:space="preserve"> </w:t>
      </w:r>
      <w:r w:rsidRPr="007C5E58">
        <w:t>needs</w:t>
      </w:r>
      <w:r>
        <w:t xml:space="preserve"> </w:t>
      </w:r>
      <w:r w:rsidRPr="007C5E58">
        <w:t>of</w:t>
      </w:r>
      <w:r>
        <w:t xml:space="preserve"> </w:t>
      </w:r>
      <w:r w:rsidRPr="007C5E58">
        <w:t>an</w:t>
      </w:r>
      <w:r>
        <w:t xml:space="preserve"> </w:t>
      </w:r>
      <w:r w:rsidRPr="007C5E58">
        <w:t>aging</w:t>
      </w:r>
      <w:r>
        <w:t xml:space="preserve"> </w:t>
      </w:r>
      <w:r w:rsidRPr="007C5E58">
        <w:t>demographic,</w:t>
      </w:r>
      <w:r>
        <w:t xml:space="preserve"> </w:t>
      </w:r>
      <w:r w:rsidRPr="007C5E58">
        <w:t>thereby</w:t>
      </w:r>
      <w:r>
        <w:t xml:space="preserve"> </w:t>
      </w:r>
      <w:r w:rsidRPr="007C5E58">
        <w:t>stabilizing</w:t>
      </w:r>
      <w:r>
        <w:t xml:space="preserve"> </w:t>
      </w:r>
      <w:r w:rsidRPr="007C5E58">
        <w:t>demand.</w:t>
      </w:r>
      <w:r>
        <w:t xml:space="preserve"> </w:t>
      </w:r>
      <w:r w:rsidRPr="007C5E58">
        <w:t>In</w:t>
      </w:r>
      <w:r>
        <w:t xml:space="preserve"> </w:t>
      </w:r>
      <w:r w:rsidRPr="007C5E58">
        <w:t>scenarios</w:t>
      </w:r>
      <w:r>
        <w:t xml:space="preserve"> </w:t>
      </w:r>
      <w:r w:rsidRPr="007C5E58">
        <w:t>where</w:t>
      </w:r>
      <w:r>
        <w:t xml:space="preserve"> </w:t>
      </w:r>
      <w:r w:rsidRPr="007C5E58">
        <w:t>the</w:t>
      </w:r>
      <w:r>
        <w:t xml:space="preserve"> </w:t>
      </w:r>
      <w:r w:rsidRPr="007C5E58">
        <w:t>costs</w:t>
      </w:r>
      <w:r>
        <w:t xml:space="preserve"> </w:t>
      </w:r>
      <w:r w:rsidRPr="007C5E58">
        <w:t>of</w:t>
      </w:r>
      <w:r>
        <w:t xml:space="preserve"> </w:t>
      </w:r>
      <w:r w:rsidRPr="007C5E58">
        <w:t>controlling</w:t>
      </w:r>
      <w:r>
        <w:t xml:space="preserve"> </w:t>
      </w:r>
      <w:r w:rsidRPr="007C5E58">
        <w:t>demand</w:t>
      </w:r>
      <w:r>
        <w:t xml:space="preserve"> </w:t>
      </w:r>
      <w:r w:rsidRPr="007C5E58">
        <w:t>are</w:t>
      </w:r>
      <w:r>
        <w:t xml:space="preserve"> </w:t>
      </w:r>
      <w:r w:rsidRPr="007C5E58">
        <w:t>exorbitant,</w:t>
      </w:r>
      <w:r>
        <w:t xml:space="preserve"> </w:t>
      </w:r>
      <w:r w:rsidRPr="007C5E58">
        <w:t>a</w:t>
      </w:r>
      <w:r>
        <w:t xml:space="preserve"> </w:t>
      </w:r>
      <w:r w:rsidRPr="007C5E58">
        <w:t>contraction</w:t>
      </w:r>
      <w:r>
        <w:t xml:space="preserve"> </w:t>
      </w:r>
      <w:r w:rsidRPr="007C5E58">
        <w:t>of</w:t>
      </w:r>
      <w:r>
        <w:t xml:space="preserve"> </w:t>
      </w:r>
      <w:r w:rsidRPr="007C5E58">
        <w:t>the</w:t>
      </w:r>
      <w:r>
        <w:t xml:space="preserve"> </w:t>
      </w:r>
      <w:r w:rsidRPr="007C5E58">
        <w:t>supply</w:t>
      </w:r>
      <w:r>
        <w:t xml:space="preserve"> </w:t>
      </w:r>
      <w:r w:rsidRPr="007C5E58">
        <w:t>side,</w:t>
      </w:r>
      <w:r>
        <w:t xml:space="preserve"> </w:t>
      </w:r>
      <w:r w:rsidRPr="007C5E58">
        <w:t>enforced</w:t>
      </w:r>
      <w:r>
        <w:t xml:space="preserve"> </w:t>
      </w:r>
      <w:r w:rsidRPr="007C5E58">
        <w:t>through</w:t>
      </w:r>
      <w:r>
        <w:t xml:space="preserve"> </w:t>
      </w:r>
      <w:r w:rsidRPr="007C5E58">
        <w:t>policy</w:t>
      </w:r>
      <w:r>
        <w:t xml:space="preserve"> </w:t>
      </w:r>
      <w:r w:rsidRPr="007C5E58">
        <w:t>measures</w:t>
      </w:r>
      <w:r>
        <w:t xml:space="preserve"> </w:t>
      </w:r>
      <w:r w:rsidRPr="007C5E58">
        <w:t>such</w:t>
      </w:r>
      <w:r>
        <w:t xml:space="preserve"> </w:t>
      </w:r>
      <w:r w:rsidRPr="007C5E58">
        <w:t>as</w:t>
      </w:r>
      <w:r>
        <w:t xml:space="preserve"> </w:t>
      </w:r>
      <w:r w:rsidRPr="007C5E58">
        <w:t>land</w:t>
      </w:r>
      <w:r>
        <w:t xml:space="preserve"> </w:t>
      </w:r>
      <w:r w:rsidRPr="007C5E58">
        <w:t>sale</w:t>
      </w:r>
      <w:r>
        <w:t xml:space="preserve"> </w:t>
      </w:r>
      <w:r w:rsidRPr="007C5E58">
        <w:t>limitations</w:t>
      </w:r>
      <w:r>
        <w:t xml:space="preserve"> </w:t>
      </w:r>
      <w:r w:rsidRPr="007C5E58">
        <w:t>and</w:t>
      </w:r>
      <w:r>
        <w:t xml:space="preserve"> </w:t>
      </w:r>
      <w:r w:rsidRPr="007C5E58">
        <w:t>capping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enterprise</w:t>
      </w:r>
      <w:r>
        <w:t xml:space="preserve"> </w:t>
      </w:r>
      <w:r w:rsidRPr="007C5E58">
        <w:t>loans,</w:t>
      </w:r>
      <w:r>
        <w:t xml:space="preserve"> </w:t>
      </w:r>
      <w:r w:rsidRPr="007C5E58">
        <w:t>might</w:t>
      </w:r>
      <w:r>
        <w:t xml:space="preserve"> </w:t>
      </w:r>
      <w:r w:rsidRPr="007C5E58">
        <w:t>be</w:t>
      </w:r>
      <w:r>
        <w:t xml:space="preserve"> </w:t>
      </w:r>
      <w:r w:rsidRPr="007C5E58">
        <w:t>necessitated</w:t>
      </w:r>
      <w:r>
        <w:t xml:space="preserve"> </w:t>
      </w:r>
      <w:r w:rsidRPr="007C5E58">
        <w:t>to</w:t>
      </w:r>
      <w:r>
        <w:t xml:space="preserve"> </w:t>
      </w:r>
      <w:r w:rsidRPr="007C5E58">
        <w:t>preempt</w:t>
      </w:r>
      <w:r>
        <w:t xml:space="preserve"> </w:t>
      </w:r>
      <w:r w:rsidRPr="007C5E58">
        <w:t>market</w:t>
      </w:r>
      <w:r>
        <w:t xml:space="preserve"> </w:t>
      </w:r>
      <w:r w:rsidRPr="007C5E58">
        <w:t>trends</w:t>
      </w:r>
      <w:r>
        <w:t xml:space="preserve"> </w:t>
      </w:r>
      <w:r w:rsidRPr="007C5E58">
        <w:t>and</w:t>
      </w:r>
      <w:r>
        <w:t xml:space="preserve"> </w:t>
      </w:r>
      <w:r w:rsidRPr="007C5E58">
        <w:t>stave</w:t>
      </w:r>
      <w:r>
        <w:t xml:space="preserve"> </w:t>
      </w:r>
      <w:r w:rsidRPr="007C5E58">
        <w:t>off</w:t>
      </w:r>
      <w:r>
        <w:t xml:space="preserve"> </w:t>
      </w:r>
      <w:r w:rsidRPr="007C5E58">
        <w:t>a</w:t>
      </w:r>
      <w:r>
        <w:t xml:space="preserve"> </w:t>
      </w:r>
      <w:r w:rsidRPr="007C5E58">
        <w:t>potential</w:t>
      </w:r>
      <w:r>
        <w:t xml:space="preserve"> </w:t>
      </w:r>
      <w:r w:rsidRPr="007C5E58">
        <w:t>crisis.</w:t>
      </w:r>
    </w:p>
    <w:p w14:paraId="3F6FB807" w14:textId="05AD0C05" w:rsidR="007C5E58" w:rsidRPr="007C5E58" w:rsidRDefault="007C5E58" w:rsidP="007C5E58">
      <w:pPr>
        <w:pStyle w:val="TTPParagraphothers"/>
        <w:ind w:firstLine="284"/>
      </w:pPr>
      <w:r w:rsidRPr="007C5E58">
        <w:t>The</w:t>
      </w:r>
      <w:r>
        <w:t xml:space="preserve"> </w:t>
      </w:r>
      <w:r w:rsidRPr="007C5E58">
        <w:t>actionable</w:t>
      </w:r>
      <w:r>
        <w:t xml:space="preserve"> </w:t>
      </w:r>
      <w:r w:rsidRPr="007C5E58">
        <w:t>insights</w:t>
      </w:r>
      <w:r>
        <w:t xml:space="preserve"> </w:t>
      </w:r>
      <w:r w:rsidRPr="007C5E58">
        <w:t>derived</w:t>
      </w:r>
      <w:r>
        <w:t xml:space="preserve"> </w:t>
      </w:r>
      <w:r w:rsidRPr="007C5E58">
        <w:t>from</w:t>
      </w:r>
      <w:r>
        <w:t xml:space="preserve"> </w:t>
      </w:r>
      <w:r w:rsidRPr="007C5E58">
        <w:t>this</w:t>
      </w:r>
      <w:r>
        <w:t xml:space="preserve"> </w:t>
      </w:r>
      <w:r w:rsidRPr="007C5E58">
        <w:t>paper’s</w:t>
      </w:r>
      <w:r>
        <w:t xml:space="preserve"> </w:t>
      </w:r>
      <w:r w:rsidRPr="007C5E58">
        <w:t>dynamic</w:t>
      </w:r>
      <w:r>
        <w:t xml:space="preserve"> </w:t>
      </w:r>
      <w:r w:rsidRPr="007C5E58">
        <w:t>regression</w:t>
      </w:r>
      <w:r>
        <w:t xml:space="preserve"> </w:t>
      </w:r>
      <w:r w:rsidRPr="007C5E58">
        <w:t>model</w:t>
      </w:r>
      <w:r>
        <w:t xml:space="preserve"> </w:t>
      </w:r>
      <w:r w:rsidRPr="007C5E58">
        <w:t>with</w:t>
      </w:r>
      <w:r>
        <w:t xml:space="preserve"> </w:t>
      </w:r>
      <w:r w:rsidRPr="007C5E58">
        <w:t>ARIMA</w:t>
      </w:r>
      <w:r>
        <w:t xml:space="preserve"> </w:t>
      </w:r>
      <w:r w:rsidRPr="007C5E58">
        <w:t>errors</w:t>
      </w:r>
      <w:r>
        <w:t xml:space="preserve"> </w:t>
      </w:r>
      <w:r w:rsidRPr="007C5E58">
        <w:t>serve</w:t>
      </w:r>
      <w:r>
        <w:t xml:space="preserve"> </w:t>
      </w:r>
      <w:r w:rsidRPr="007C5E58">
        <w:t>not</w:t>
      </w:r>
      <w:r>
        <w:t xml:space="preserve"> </w:t>
      </w:r>
      <w:r w:rsidRPr="007C5E58">
        <w:t>only</w:t>
      </w:r>
      <w:r>
        <w:t xml:space="preserve"> </w:t>
      </w:r>
      <w:r w:rsidRPr="007C5E58">
        <w:t>as</w:t>
      </w:r>
      <w:r>
        <w:t xml:space="preserve"> </w:t>
      </w:r>
      <w:r w:rsidRPr="007C5E58">
        <w:t>a</w:t>
      </w:r>
      <w:r>
        <w:t xml:space="preserve"> </w:t>
      </w:r>
      <w:r w:rsidRPr="007C5E58">
        <w:t>forecast</w:t>
      </w:r>
      <w:r>
        <w:t xml:space="preserve"> </w:t>
      </w:r>
      <w:r w:rsidRPr="007C5E58">
        <w:t>but</w:t>
      </w:r>
      <w:r>
        <w:t xml:space="preserve"> </w:t>
      </w:r>
      <w:r w:rsidRPr="007C5E58">
        <w:t>as</w:t>
      </w:r>
      <w:r>
        <w:t xml:space="preserve"> </w:t>
      </w:r>
      <w:r w:rsidRPr="007C5E58">
        <w:t>a</w:t>
      </w:r>
      <w:r>
        <w:t xml:space="preserve"> </w:t>
      </w:r>
      <w:r w:rsidRPr="007C5E58">
        <w:t>catalyst</w:t>
      </w:r>
      <w:r>
        <w:t xml:space="preserve"> </w:t>
      </w:r>
      <w:r w:rsidRPr="007C5E58">
        <w:t>for</w:t>
      </w:r>
      <w:r>
        <w:t xml:space="preserve"> </w:t>
      </w:r>
      <w:r w:rsidRPr="007C5E58">
        <w:t>policy</w:t>
      </w:r>
      <w:r>
        <w:t xml:space="preserve"> </w:t>
      </w:r>
      <w:r w:rsidRPr="007C5E58">
        <w:t>innovation,</w:t>
      </w:r>
      <w:r>
        <w:t xml:space="preserve"> </w:t>
      </w:r>
      <w:r w:rsidRPr="007C5E58">
        <w:t>aiming</w:t>
      </w:r>
      <w:r>
        <w:t xml:space="preserve"> </w:t>
      </w:r>
      <w:r w:rsidRPr="007C5E58">
        <w:t>to</w:t>
      </w:r>
      <w:r>
        <w:t xml:space="preserve"> </w:t>
      </w:r>
      <w:r w:rsidRPr="007C5E58">
        <w:t>maintain</w:t>
      </w:r>
      <w:r>
        <w:t xml:space="preserve"> </w:t>
      </w:r>
      <w:r w:rsidRPr="007C5E58">
        <w:t>equilibrium</w:t>
      </w:r>
      <w:r>
        <w:t xml:space="preserve"> </w:t>
      </w:r>
      <w:r w:rsidRPr="007C5E58">
        <w:t>in</w:t>
      </w:r>
      <w:r>
        <w:t xml:space="preserve"> </w:t>
      </w:r>
      <w:r w:rsidRPr="007C5E58">
        <w:t>the</w:t>
      </w:r>
      <w:r>
        <w:t xml:space="preserve"> </w:t>
      </w:r>
      <w:r w:rsidRPr="007C5E58">
        <w:t>real</w:t>
      </w:r>
      <w:r>
        <w:t xml:space="preserve"> </w:t>
      </w:r>
      <w:r w:rsidRPr="007C5E58">
        <w:t>estate</w:t>
      </w:r>
      <w:r>
        <w:t xml:space="preserve"> </w:t>
      </w:r>
      <w:r w:rsidRPr="007C5E58">
        <w:t>market</w:t>
      </w:r>
      <w:r>
        <w:t xml:space="preserve"> </w:t>
      </w:r>
      <w:r w:rsidRPr="007C5E58">
        <w:t>and,</w:t>
      </w:r>
      <w:r>
        <w:t xml:space="preserve"> </w:t>
      </w:r>
      <w:r w:rsidRPr="007C5E58">
        <w:t>by</w:t>
      </w:r>
      <w:r>
        <w:t xml:space="preserve"> </w:t>
      </w:r>
      <w:r w:rsidRPr="007C5E58">
        <w:t>extension,</w:t>
      </w:r>
      <w:r>
        <w:t xml:space="preserve"> </w:t>
      </w:r>
      <w:r w:rsidRPr="007C5E58">
        <w:t>the</w:t>
      </w:r>
      <w:r>
        <w:t xml:space="preserve"> </w:t>
      </w:r>
      <w:r w:rsidRPr="007C5E58">
        <w:t>broader</w:t>
      </w:r>
      <w:r>
        <w:t xml:space="preserve"> </w:t>
      </w:r>
      <w:r w:rsidRPr="007C5E58">
        <w:t>economy.</w:t>
      </w:r>
      <w:r>
        <w:t xml:space="preserve"> </w:t>
      </w:r>
      <w:r w:rsidRPr="007C5E58">
        <w:t>This</w:t>
      </w:r>
      <w:r>
        <w:t xml:space="preserve"> </w:t>
      </w:r>
      <w:r w:rsidRPr="007C5E58">
        <w:t>model</w:t>
      </w:r>
      <w:r>
        <w:t xml:space="preserve"> </w:t>
      </w:r>
      <w:r w:rsidRPr="007C5E58">
        <w:t>becomes</w:t>
      </w:r>
      <w:r>
        <w:t xml:space="preserve"> </w:t>
      </w:r>
      <w:r w:rsidRPr="007C5E58">
        <w:t>a</w:t>
      </w:r>
      <w:r>
        <w:t xml:space="preserve"> </w:t>
      </w:r>
      <w:r w:rsidRPr="007C5E58">
        <w:t>crucial</w:t>
      </w:r>
      <w:r>
        <w:t xml:space="preserve"> </w:t>
      </w:r>
      <w:r w:rsidRPr="007C5E58">
        <w:t>instrument</w:t>
      </w:r>
      <w:r>
        <w:t xml:space="preserve"> </w:t>
      </w:r>
      <w:r w:rsidRPr="007C5E58">
        <w:t>for</w:t>
      </w:r>
      <w:r>
        <w:t xml:space="preserve"> </w:t>
      </w:r>
      <w:r w:rsidRPr="007C5E58">
        <w:t>policymakers,</w:t>
      </w:r>
      <w:r>
        <w:t xml:space="preserve"> </w:t>
      </w:r>
      <w:r w:rsidRPr="007C5E58">
        <w:t>providing</w:t>
      </w:r>
      <w:r>
        <w:t xml:space="preserve"> </w:t>
      </w:r>
      <w:r w:rsidRPr="007C5E58">
        <w:t>a</w:t>
      </w:r>
      <w:r>
        <w:t xml:space="preserve"> </w:t>
      </w:r>
      <w:r w:rsidRPr="007C5E58">
        <w:t>granular</w:t>
      </w:r>
      <w:r>
        <w:t xml:space="preserve"> </w:t>
      </w:r>
      <w:r w:rsidRPr="007C5E58">
        <w:t>view</w:t>
      </w:r>
      <w:r>
        <w:t xml:space="preserve"> </w:t>
      </w:r>
      <w:r w:rsidRPr="007C5E58">
        <w:t>of</w:t>
      </w:r>
      <w:r>
        <w:t xml:space="preserve"> </w:t>
      </w:r>
      <w:r w:rsidRPr="007C5E58">
        <w:t>the</w:t>
      </w:r>
      <w:r>
        <w:t xml:space="preserve"> </w:t>
      </w:r>
      <w:r w:rsidRPr="007C5E58">
        <w:t>housing</w:t>
      </w:r>
      <w:r>
        <w:t xml:space="preserve"> </w:t>
      </w:r>
      <w:r w:rsidRPr="007C5E58">
        <w:t>market's</w:t>
      </w:r>
      <w:r>
        <w:t xml:space="preserve"> </w:t>
      </w:r>
      <w:r w:rsidRPr="007C5E58">
        <w:t>intricacies</w:t>
      </w:r>
      <w:r>
        <w:t xml:space="preserve"> </w:t>
      </w:r>
      <w:r w:rsidRPr="007C5E58">
        <w:t>and</w:t>
      </w:r>
      <w:r>
        <w:t xml:space="preserve"> </w:t>
      </w:r>
      <w:r w:rsidRPr="007C5E58">
        <w:t>offering</w:t>
      </w:r>
      <w:r>
        <w:t xml:space="preserve"> </w:t>
      </w:r>
      <w:r w:rsidRPr="007C5E58">
        <w:t>a</w:t>
      </w:r>
      <w:r>
        <w:t xml:space="preserve"> </w:t>
      </w:r>
      <w:r w:rsidRPr="007C5E58">
        <w:t>strategic</w:t>
      </w:r>
      <w:r>
        <w:t xml:space="preserve"> </w:t>
      </w:r>
      <w:r w:rsidRPr="007C5E58">
        <w:t>foundation</w:t>
      </w:r>
      <w:r>
        <w:t xml:space="preserve"> </w:t>
      </w:r>
      <w:r w:rsidRPr="007C5E58">
        <w:t>for</w:t>
      </w:r>
      <w:r>
        <w:t xml:space="preserve"> </w:t>
      </w:r>
      <w:r w:rsidRPr="007C5E58">
        <w:t>preemptive</w:t>
      </w:r>
      <w:r>
        <w:t xml:space="preserve"> </w:t>
      </w:r>
      <w:r w:rsidRPr="007C5E58">
        <w:t>and</w:t>
      </w:r>
      <w:r>
        <w:t xml:space="preserve"> </w:t>
      </w:r>
      <w:r w:rsidRPr="007C5E58">
        <w:t>corrective</w:t>
      </w:r>
      <w:r>
        <w:t xml:space="preserve"> </w:t>
      </w:r>
      <w:r w:rsidRPr="007C5E58">
        <w:t>economic</w:t>
      </w:r>
      <w:r>
        <w:t xml:space="preserve"> </w:t>
      </w:r>
      <w:r w:rsidRPr="007C5E58">
        <w:t>measures.</w:t>
      </w:r>
    </w:p>
    <w:p w14:paraId="3BF3C221" w14:textId="77777777" w:rsidR="007C5E58" w:rsidRPr="007C5E58" w:rsidRDefault="007C5E58" w:rsidP="007C5E58">
      <w:pPr>
        <w:pStyle w:val="1"/>
      </w:pPr>
      <w:r w:rsidRPr="007C5E58">
        <w:lastRenderedPageBreak/>
        <w:t>References</w:t>
      </w:r>
    </w:p>
    <w:p w14:paraId="116B40CF" w14:textId="70137E31" w:rsidR="007C5E58" w:rsidRPr="007C5E58" w:rsidRDefault="007C5E58" w:rsidP="007C5E58">
      <w:pPr>
        <w:pStyle w:val="Reference"/>
        <w:numPr>
          <w:ilvl w:val="0"/>
          <w:numId w:val="2"/>
        </w:numPr>
        <w:tabs>
          <w:tab w:val="left" w:pos="426"/>
        </w:tabs>
        <w:spacing w:after="60"/>
        <w:rPr>
          <w:sz w:val="22"/>
          <w:szCs w:val="22"/>
        </w:rPr>
      </w:pPr>
      <w:r w:rsidRPr="007C5E58">
        <w:rPr>
          <w:sz w:val="22"/>
          <w:szCs w:val="22"/>
        </w:rPr>
        <w:t>Coffee J C. What Went Wrong? An Initial Inquiry into the Causes of the 2008 Financial Crisis. J. Corp. Law Stud., 2009, 9: 1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–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22.</w:t>
      </w:r>
    </w:p>
    <w:p w14:paraId="5AA2105A" w14:textId="0664B0E3" w:rsidR="007C5E58" w:rsidRPr="007C5E58" w:rsidRDefault="007C5E58" w:rsidP="007C5E58">
      <w:pPr>
        <w:pStyle w:val="Reference"/>
        <w:numPr>
          <w:ilvl w:val="0"/>
          <w:numId w:val="2"/>
        </w:numPr>
        <w:tabs>
          <w:tab w:val="left" w:pos="426"/>
        </w:tabs>
        <w:spacing w:after="60"/>
        <w:rPr>
          <w:sz w:val="22"/>
          <w:szCs w:val="22"/>
        </w:rPr>
      </w:pPr>
      <w:r w:rsidRPr="007C5E58">
        <w:rPr>
          <w:sz w:val="22"/>
          <w:szCs w:val="22"/>
        </w:rPr>
        <w:t xml:space="preserve">Zhi T, Li Z, Jiang Z, Wei L, </w:t>
      </w:r>
      <w:proofErr w:type="spellStart"/>
      <w:r w:rsidRPr="007C5E58">
        <w:rPr>
          <w:sz w:val="22"/>
          <w:szCs w:val="22"/>
        </w:rPr>
        <w:t>Sornette</w:t>
      </w:r>
      <w:proofErr w:type="spellEnd"/>
      <w:r w:rsidRPr="007C5E58">
        <w:rPr>
          <w:sz w:val="22"/>
          <w:szCs w:val="22"/>
        </w:rPr>
        <w:t xml:space="preserve"> D. Is there a housing bubble in China? Emerg. Mark. Rev., 2019, 39: 120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–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132.</w:t>
      </w:r>
    </w:p>
    <w:p w14:paraId="165A2DA8" w14:textId="7ABA7A6E" w:rsidR="007C5E58" w:rsidRPr="007C5E58" w:rsidRDefault="007C5E58" w:rsidP="007C5E58">
      <w:pPr>
        <w:pStyle w:val="Reference"/>
        <w:numPr>
          <w:ilvl w:val="0"/>
          <w:numId w:val="2"/>
        </w:numPr>
        <w:tabs>
          <w:tab w:val="left" w:pos="426"/>
        </w:tabs>
        <w:spacing w:after="60"/>
        <w:rPr>
          <w:sz w:val="22"/>
          <w:szCs w:val="22"/>
        </w:rPr>
      </w:pPr>
      <w:r w:rsidRPr="007C5E58">
        <w:rPr>
          <w:sz w:val="22"/>
          <w:szCs w:val="22"/>
        </w:rPr>
        <w:t>Hwang S. Dynamic Regression Models for Prediction of Construction Costs. J. Constr. Eng. Manag., 2009, 135: 360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–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367.</w:t>
      </w:r>
    </w:p>
    <w:p w14:paraId="1C963B28" w14:textId="3113ABFF" w:rsidR="007C5E58" w:rsidRPr="007C5E58" w:rsidRDefault="007C5E58" w:rsidP="007C5E58">
      <w:pPr>
        <w:pStyle w:val="Reference"/>
        <w:numPr>
          <w:ilvl w:val="0"/>
          <w:numId w:val="2"/>
        </w:numPr>
        <w:tabs>
          <w:tab w:val="left" w:pos="426"/>
        </w:tabs>
        <w:spacing w:after="60"/>
        <w:rPr>
          <w:sz w:val="22"/>
          <w:szCs w:val="22"/>
        </w:rPr>
      </w:pPr>
      <w:r w:rsidRPr="007C5E58">
        <w:rPr>
          <w:sz w:val="22"/>
          <w:szCs w:val="22"/>
        </w:rPr>
        <w:t>Wei Y, Cao Y. Forecasting house prices using dynamic model averaging approach: Evidence from China. Econ. Model., 2017, 61: 147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–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155.</w:t>
      </w:r>
    </w:p>
    <w:p w14:paraId="4A683F0E" w14:textId="12D174F2" w:rsidR="007C5E58" w:rsidRPr="007C5E58" w:rsidRDefault="007C5E58" w:rsidP="007C5E58">
      <w:pPr>
        <w:pStyle w:val="Reference"/>
        <w:numPr>
          <w:ilvl w:val="0"/>
          <w:numId w:val="2"/>
        </w:numPr>
        <w:tabs>
          <w:tab w:val="left" w:pos="426"/>
        </w:tabs>
        <w:spacing w:after="60"/>
        <w:rPr>
          <w:sz w:val="22"/>
          <w:szCs w:val="22"/>
        </w:rPr>
      </w:pPr>
      <w:r w:rsidRPr="007C5E58">
        <w:rPr>
          <w:sz w:val="22"/>
          <w:szCs w:val="22"/>
        </w:rPr>
        <w:t xml:space="preserve">Tajani F, Morano P, Saez-Perez M P, Di </w:t>
      </w:r>
      <w:proofErr w:type="spellStart"/>
      <w:r w:rsidRPr="007C5E58">
        <w:rPr>
          <w:sz w:val="22"/>
          <w:szCs w:val="22"/>
        </w:rPr>
        <w:t>Liddo</w:t>
      </w:r>
      <w:proofErr w:type="spellEnd"/>
      <w:r w:rsidRPr="007C5E58">
        <w:rPr>
          <w:sz w:val="22"/>
          <w:szCs w:val="22"/>
        </w:rPr>
        <w:t xml:space="preserve"> F, </w:t>
      </w:r>
      <w:proofErr w:type="spellStart"/>
      <w:r w:rsidRPr="007C5E58">
        <w:rPr>
          <w:sz w:val="22"/>
          <w:szCs w:val="22"/>
        </w:rPr>
        <w:t>Locurcio</w:t>
      </w:r>
      <w:proofErr w:type="spellEnd"/>
      <w:r w:rsidRPr="007C5E58">
        <w:rPr>
          <w:sz w:val="22"/>
          <w:szCs w:val="22"/>
        </w:rPr>
        <w:t xml:space="preserve"> M. Multivariate Dynamic Analysis and Forecasting Models of Future Property Bubbles: Empirical Applications to the Housing Markets of Spanish Metropolitan Cities. Sustainability, 2019, 11: 3575.</w:t>
      </w:r>
    </w:p>
    <w:p w14:paraId="1C47C78B" w14:textId="3545E166" w:rsidR="007C5E58" w:rsidRPr="007C5E58" w:rsidRDefault="007C5E58" w:rsidP="007C5E58">
      <w:pPr>
        <w:pStyle w:val="Reference"/>
        <w:numPr>
          <w:ilvl w:val="0"/>
          <w:numId w:val="2"/>
        </w:numPr>
        <w:tabs>
          <w:tab w:val="left" w:pos="426"/>
        </w:tabs>
        <w:spacing w:after="60"/>
        <w:rPr>
          <w:sz w:val="22"/>
          <w:szCs w:val="22"/>
        </w:rPr>
      </w:pPr>
      <w:r w:rsidRPr="007C5E58">
        <w:rPr>
          <w:sz w:val="22"/>
          <w:szCs w:val="22"/>
        </w:rPr>
        <w:t>Muli N F. An Assessment of the Factors Affecting the Growth in Real Estate Investment in Kenya. Theory Soc., 2013, 1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-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66.</w:t>
      </w:r>
    </w:p>
    <w:p w14:paraId="08BECF9B" w14:textId="695D3DA8" w:rsidR="007C5E58" w:rsidRPr="007C5E58" w:rsidRDefault="007C5E58" w:rsidP="007C5E58">
      <w:pPr>
        <w:pStyle w:val="Reference"/>
        <w:numPr>
          <w:ilvl w:val="0"/>
          <w:numId w:val="2"/>
        </w:numPr>
        <w:tabs>
          <w:tab w:val="left" w:pos="426"/>
        </w:tabs>
        <w:spacing w:after="60"/>
        <w:rPr>
          <w:sz w:val="22"/>
          <w:szCs w:val="22"/>
        </w:rPr>
      </w:pPr>
      <w:r w:rsidRPr="007C5E58">
        <w:rPr>
          <w:sz w:val="22"/>
          <w:szCs w:val="22"/>
        </w:rPr>
        <w:t xml:space="preserve">Neto M S. Analysis of the Determinants of New Housing Investment in Spain. </w:t>
      </w:r>
      <w:proofErr w:type="spellStart"/>
      <w:r w:rsidRPr="007C5E58">
        <w:rPr>
          <w:sz w:val="22"/>
          <w:szCs w:val="22"/>
        </w:rPr>
        <w:t>Hous</w:t>
      </w:r>
      <w:proofErr w:type="spellEnd"/>
      <w:r w:rsidRPr="007C5E58">
        <w:rPr>
          <w:sz w:val="22"/>
          <w:szCs w:val="22"/>
        </w:rPr>
        <w:t>. Theory Soc., 2005, 22: 18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–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31.</w:t>
      </w:r>
    </w:p>
    <w:p w14:paraId="1B2F11F3" w14:textId="3475DDC4" w:rsidR="007C5E58" w:rsidRPr="007C5E58" w:rsidRDefault="007C5E58" w:rsidP="007C5E58">
      <w:pPr>
        <w:pStyle w:val="Reference"/>
        <w:numPr>
          <w:ilvl w:val="0"/>
          <w:numId w:val="2"/>
        </w:numPr>
        <w:tabs>
          <w:tab w:val="left" w:pos="426"/>
        </w:tabs>
        <w:spacing w:after="60"/>
        <w:rPr>
          <w:sz w:val="22"/>
          <w:szCs w:val="22"/>
        </w:rPr>
      </w:pPr>
      <w:r w:rsidRPr="007C5E58">
        <w:rPr>
          <w:sz w:val="22"/>
          <w:szCs w:val="22"/>
        </w:rPr>
        <w:t xml:space="preserve">Lastrapes W D. The Real Price of Housing and Money Supply Shocks: Time Series Evidence and Theoretical Simulations. J. </w:t>
      </w:r>
      <w:proofErr w:type="spellStart"/>
      <w:r w:rsidRPr="007C5E58">
        <w:rPr>
          <w:sz w:val="22"/>
          <w:szCs w:val="22"/>
        </w:rPr>
        <w:t>Hous</w:t>
      </w:r>
      <w:proofErr w:type="spellEnd"/>
      <w:r w:rsidRPr="007C5E58">
        <w:rPr>
          <w:sz w:val="22"/>
          <w:szCs w:val="22"/>
        </w:rPr>
        <w:t>. Econ., 2002, 11: 40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–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74.</w:t>
      </w:r>
    </w:p>
    <w:p w14:paraId="77D06A4B" w14:textId="52D15139" w:rsidR="007C5E58" w:rsidRPr="007C5E58" w:rsidRDefault="007C5E58" w:rsidP="007C5E58">
      <w:pPr>
        <w:pStyle w:val="Reference"/>
        <w:numPr>
          <w:ilvl w:val="0"/>
          <w:numId w:val="2"/>
        </w:numPr>
        <w:tabs>
          <w:tab w:val="left" w:pos="426"/>
        </w:tabs>
        <w:spacing w:after="60"/>
        <w:rPr>
          <w:sz w:val="22"/>
          <w:szCs w:val="22"/>
        </w:rPr>
      </w:pPr>
      <w:proofErr w:type="spellStart"/>
      <w:r w:rsidRPr="007C5E58">
        <w:rPr>
          <w:sz w:val="22"/>
          <w:szCs w:val="22"/>
        </w:rPr>
        <w:t>Hobijn</w:t>
      </w:r>
      <w:proofErr w:type="spellEnd"/>
      <w:r w:rsidRPr="007C5E58">
        <w:rPr>
          <w:sz w:val="22"/>
          <w:szCs w:val="22"/>
        </w:rPr>
        <w:t xml:space="preserve"> B, </w:t>
      </w:r>
      <w:proofErr w:type="spellStart"/>
      <w:r w:rsidRPr="007C5E58">
        <w:rPr>
          <w:sz w:val="22"/>
          <w:szCs w:val="22"/>
        </w:rPr>
        <w:t>Franses</w:t>
      </w:r>
      <w:proofErr w:type="spellEnd"/>
      <w:r w:rsidRPr="007C5E58">
        <w:rPr>
          <w:sz w:val="22"/>
          <w:szCs w:val="22"/>
        </w:rPr>
        <w:t xml:space="preserve"> P H, Ooms M. Generalizations of the KPSS-test for stationarity. Stat. </w:t>
      </w:r>
      <w:proofErr w:type="spellStart"/>
      <w:r w:rsidRPr="007C5E58">
        <w:rPr>
          <w:sz w:val="22"/>
          <w:szCs w:val="22"/>
        </w:rPr>
        <w:t>Neerlandica</w:t>
      </w:r>
      <w:proofErr w:type="spellEnd"/>
      <w:r w:rsidRPr="007C5E58">
        <w:rPr>
          <w:sz w:val="22"/>
          <w:szCs w:val="22"/>
        </w:rPr>
        <w:t>, 2004, 483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–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502.</w:t>
      </w:r>
    </w:p>
    <w:p w14:paraId="118AC958" w14:textId="1E09EC58" w:rsidR="007C5E58" w:rsidRPr="007C5E58" w:rsidRDefault="007C5E58" w:rsidP="007C5E58">
      <w:pPr>
        <w:pStyle w:val="Reference"/>
        <w:numPr>
          <w:ilvl w:val="0"/>
          <w:numId w:val="2"/>
        </w:numPr>
        <w:tabs>
          <w:tab w:val="left" w:pos="426"/>
        </w:tabs>
        <w:spacing w:after="60"/>
        <w:rPr>
          <w:sz w:val="22"/>
          <w:szCs w:val="22"/>
        </w:rPr>
      </w:pPr>
      <w:r w:rsidRPr="007C5E58">
        <w:rPr>
          <w:sz w:val="22"/>
          <w:szCs w:val="22"/>
        </w:rPr>
        <w:t>Huang S, Shin S W, Wang R D. The Impact of Housing Price on the Performance of Listed Steel Companies Evidence in China. Asia-Pac. J. Bus., 2020, 11: 27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–</w:t>
      </w:r>
      <w:r w:rsidRPr="007C5E58">
        <w:rPr>
          <w:rFonts w:hint="eastAsia"/>
          <w:sz w:val="22"/>
          <w:szCs w:val="22"/>
          <w:lang w:eastAsia="zh-CN"/>
        </w:rPr>
        <w:t xml:space="preserve"> </w:t>
      </w:r>
      <w:r w:rsidRPr="007C5E58">
        <w:rPr>
          <w:sz w:val="22"/>
          <w:szCs w:val="22"/>
        </w:rPr>
        <w:t>43.</w:t>
      </w:r>
    </w:p>
    <w:sectPr w:rsidR="007C5E58" w:rsidRPr="007C5E58" w:rsidSect="004D2C18">
      <w:headerReference w:type="even" r:id="rId10"/>
      <w:headerReference w:type="default" r:id="rId11"/>
      <w:footerReference w:type="default" r:id="rId12"/>
      <w:pgSz w:w="11907" w:h="16840" w:code="9"/>
      <w:pgMar w:top="1701" w:right="1134" w:bottom="851" w:left="1134" w:header="850" w:footer="425" w:gutter="0"/>
      <w:pgNumType w:start="94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A9A0E" w14:textId="77777777" w:rsidR="00E64784" w:rsidRDefault="00E64784" w:rsidP="0007556F">
      <w:r>
        <w:separator/>
      </w:r>
    </w:p>
  </w:endnote>
  <w:endnote w:type="continuationSeparator" w:id="0">
    <w:p w14:paraId="7EED0CBE" w14:textId="77777777" w:rsidR="00E64784" w:rsidRDefault="00E64784" w:rsidP="0007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5617587"/>
      <w:docPartObj>
        <w:docPartGallery w:val="Page Numbers (Bottom of Page)"/>
        <w:docPartUnique/>
      </w:docPartObj>
    </w:sdtPr>
    <w:sdtEndPr/>
    <w:sdtContent>
      <w:p w14:paraId="6E4FB629" w14:textId="745878A9" w:rsidR="00327641" w:rsidRPr="00327641" w:rsidRDefault="00327641" w:rsidP="003276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F441B" w14:textId="77777777" w:rsidR="00E64784" w:rsidRDefault="00E64784" w:rsidP="0007556F">
      <w:r>
        <w:separator/>
      </w:r>
    </w:p>
  </w:footnote>
  <w:footnote w:type="continuationSeparator" w:id="0">
    <w:p w14:paraId="375393B5" w14:textId="77777777" w:rsidR="00E64784" w:rsidRDefault="00E64784" w:rsidP="00075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7440" w14:textId="77777777" w:rsidR="003866B8" w:rsidRDefault="003866B8">
    <w:pPr>
      <w:pStyle w:val="a3"/>
      <w:spacing w:after="24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951"/>
    </w:tblGrid>
    <w:tr w:rsidR="008C0185" w:rsidRPr="00624D6A" w14:paraId="5F9DE6C3" w14:textId="77777777" w:rsidTr="00D86FD7">
      <w:tc>
        <w:tcPr>
          <w:tcW w:w="4678" w:type="dxa"/>
          <w:tcBorders>
            <w:bottom w:val="single" w:sz="4" w:space="0" w:color="auto"/>
          </w:tcBorders>
        </w:tcPr>
        <w:p w14:paraId="3E5D3DD2" w14:textId="77777777" w:rsidR="008C0185" w:rsidRPr="00624D6A" w:rsidRDefault="008C0185" w:rsidP="008C0185">
          <w:pPr>
            <w:pStyle w:val="a3"/>
            <w:ind w:leftChars="-51" w:left="-102"/>
            <w:rPr>
              <w:sz w:val="22"/>
              <w:szCs w:val="22"/>
            </w:rPr>
          </w:pPr>
          <w:r w:rsidRPr="00527DE3">
            <w:rPr>
              <w:sz w:val="22"/>
              <w:szCs w:val="22"/>
            </w:rPr>
            <w:t>Highlights in Science, Engineering and Technology</w:t>
          </w:r>
        </w:p>
      </w:tc>
      <w:tc>
        <w:tcPr>
          <w:tcW w:w="4951" w:type="dxa"/>
          <w:tcBorders>
            <w:bottom w:val="single" w:sz="4" w:space="0" w:color="auto"/>
          </w:tcBorders>
        </w:tcPr>
        <w:p w14:paraId="1A198206" w14:textId="77777777" w:rsidR="008C0185" w:rsidRPr="00624D6A" w:rsidRDefault="008C0185" w:rsidP="008C0185">
          <w:pPr>
            <w:pStyle w:val="a3"/>
            <w:ind w:rightChars="-59" w:right="-118"/>
            <w:jc w:val="right"/>
            <w:rPr>
              <w:b/>
              <w:sz w:val="22"/>
              <w:szCs w:val="22"/>
            </w:rPr>
          </w:pPr>
          <w:r w:rsidRPr="00B927EA">
            <w:rPr>
              <w:b/>
              <w:sz w:val="22"/>
              <w:szCs w:val="22"/>
              <w:lang w:eastAsia="zh-CN"/>
            </w:rPr>
            <w:t>SDPIT</w:t>
          </w:r>
          <w:r w:rsidRPr="00624D6A">
            <w:rPr>
              <w:b/>
              <w:sz w:val="22"/>
              <w:szCs w:val="22"/>
            </w:rPr>
            <w:t xml:space="preserve"> 202</w:t>
          </w:r>
          <w:r>
            <w:rPr>
              <w:b/>
              <w:sz w:val="22"/>
              <w:szCs w:val="22"/>
            </w:rPr>
            <w:t>4</w:t>
          </w:r>
        </w:p>
      </w:tc>
    </w:tr>
    <w:tr w:rsidR="008C0185" w:rsidRPr="00624D6A" w14:paraId="1E198197" w14:textId="77777777" w:rsidTr="00D86FD7">
      <w:tc>
        <w:tcPr>
          <w:tcW w:w="4678" w:type="dxa"/>
          <w:tcBorders>
            <w:top w:val="single" w:sz="4" w:space="0" w:color="auto"/>
          </w:tcBorders>
        </w:tcPr>
        <w:p w14:paraId="47AAA4BA" w14:textId="77777777" w:rsidR="008C0185" w:rsidRPr="00624D6A" w:rsidRDefault="008C0185" w:rsidP="008C0185">
          <w:pPr>
            <w:pStyle w:val="a3"/>
            <w:ind w:leftChars="-51" w:left="-102"/>
            <w:rPr>
              <w:sz w:val="22"/>
              <w:szCs w:val="22"/>
              <w:lang w:eastAsia="zh-CN"/>
            </w:rPr>
          </w:pPr>
          <w:r w:rsidRPr="00624D6A">
            <w:rPr>
              <w:sz w:val="22"/>
              <w:szCs w:val="22"/>
            </w:rPr>
            <w:t xml:space="preserve">Volume </w:t>
          </w:r>
          <w:r>
            <w:rPr>
              <w:b/>
              <w:sz w:val="22"/>
              <w:szCs w:val="22"/>
            </w:rPr>
            <w:t>92</w:t>
          </w:r>
          <w:r w:rsidRPr="00624D6A">
            <w:rPr>
              <w:sz w:val="22"/>
              <w:szCs w:val="22"/>
            </w:rPr>
            <w:t xml:space="preserve"> (202</w:t>
          </w:r>
          <w:r>
            <w:rPr>
              <w:sz w:val="22"/>
              <w:szCs w:val="22"/>
            </w:rPr>
            <w:t>4</w:t>
          </w:r>
          <w:r w:rsidRPr="00624D6A">
            <w:rPr>
              <w:sz w:val="22"/>
              <w:szCs w:val="22"/>
            </w:rPr>
            <w:t>)</w:t>
          </w:r>
        </w:p>
      </w:tc>
      <w:tc>
        <w:tcPr>
          <w:tcW w:w="4951" w:type="dxa"/>
          <w:tcBorders>
            <w:top w:val="single" w:sz="4" w:space="0" w:color="auto"/>
          </w:tcBorders>
        </w:tcPr>
        <w:p w14:paraId="787E3DE5" w14:textId="77777777" w:rsidR="008C0185" w:rsidRPr="00624D6A" w:rsidRDefault="008C0185" w:rsidP="008C0185">
          <w:pPr>
            <w:pStyle w:val="a3"/>
            <w:ind w:rightChars="-59" w:right="-118"/>
            <w:jc w:val="right"/>
            <w:rPr>
              <w:sz w:val="22"/>
              <w:szCs w:val="22"/>
              <w:lang w:eastAsia="zh-CN"/>
            </w:rPr>
          </w:pPr>
        </w:p>
      </w:tc>
    </w:tr>
  </w:tbl>
  <w:p w14:paraId="3118C242" w14:textId="77777777" w:rsidR="003866B8" w:rsidRPr="00624D6A" w:rsidRDefault="003866B8" w:rsidP="000518B8">
    <w:pPr>
      <w:pStyle w:val="a3"/>
      <w:rPr>
        <w:rFonts w:eastAsiaTheme="minorEastAs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0653"/>
    <w:multiLevelType w:val="hybridMultilevel"/>
    <w:tmpl w:val="8684E1CA"/>
    <w:lvl w:ilvl="0" w:tplc="387E8E42">
      <w:start w:val="1"/>
      <w:numFmt w:val="decimal"/>
      <w:lvlText w:val="2.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D31BD4"/>
    <w:multiLevelType w:val="hybridMultilevel"/>
    <w:tmpl w:val="BE30C858"/>
    <w:lvl w:ilvl="0" w:tplc="399EB1F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2A3364"/>
    <w:multiLevelType w:val="multilevel"/>
    <w:tmpl w:val="AFC0F82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CFD3A7D"/>
    <w:multiLevelType w:val="hybridMultilevel"/>
    <w:tmpl w:val="1A96362E"/>
    <w:lvl w:ilvl="0" w:tplc="D0B0865A">
      <w:start w:val="1"/>
      <w:numFmt w:val="decimal"/>
      <w:pStyle w:val="References"/>
      <w:lvlText w:val="[%1]"/>
      <w:lvlJc w:val="left"/>
      <w:pPr>
        <w:tabs>
          <w:tab w:val="num" w:pos="454"/>
        </w:tabs>
        <w:ind w:left="454" w:hanging="454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4F699A"/>
    <w:multiLevelType w:val="hybridMultilevel"/>
    <w:tmpl w:val="F28804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CA544A"/>
    <w:multiLevelType w:val="singleLevel"/>
    <w:tmpl w:val="1C6E12FA"/>
    <w:lvl w:ilvl="0">
      <w:start w:val="1"/>
      <w:numFmt w:val="decimal"/>
      <w:pStyle w:val="references0"/>
      <w:suff w:val="space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16"/>
      </w:rPr>
    </w:lvl>
  </w:abstractNum>
  <w:abstractNum w:abstractNumId="6" w15:restartNumberingAfterBreak="0">
    <w:nsid w:val="5B1862F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5DFD06AB"/>
    <w:multiLevelType w:val="multilevel"/>
    <w:tmpl w:val="E18081C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EA97F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3D4"/>
    <w:rsid w:val="0000598A"/>
    <w:rsid w:val="00012307"/>
    <w:rsid w:val="00020992"/>
    <w:rsid w:val="0003530B"/>
    <w:rsid w:val="000518B8"/>
    <w:rsid w:val="0007556F"/>
    <w:rsid w:val="00080DFE"/>
    <w:rsid w:val="00082B05"/>
    <w:rsid w:val="00084D38"/>
    <w:rsid w:val="00086928"/>
    <w:rsid w:val="000971D2"/>
    <w:rsid w:val="000B52C9"/>
    <w:rsid w:val="000C61E5"/>
    <w:rsid w:val="000E2AF9"/>
    <w:rsid w:val="000E63FC"/>
    <w:rsid w:val="000F366E"/>
    <w:rsid w:val="000F6624"/>
    <w:rsid w:val="00104305"/>
    <w:rsid w:val="001234F5"/>
    <w:rsid w:val="00125497"/>
    <w:rsid w:val="00133B42"/>
    <w:rsid w:val="00142425"/>
    <w:rsid w:val="001449C9"/>
    <w:rsid w:val="00152DD0"/>
    <w:rsid w:val="00153AF8"/>
    <w:rsid w:val="00170F0D"/>
    <w:rsid w:val="001A7A2A"/>
    <w:rsid w:val="001C3426"/>
    <w:rsid w:val="001C6D59"/>
    <w:rsid w:val="001E41C8"/>
    <w:rsid w:val="0022742C"/>
    <w:rsid w:val="0024287D"/>
    <w:rsid w:val="0024644D"/>
    <w:rsid w:val="00251E28"/>
    <w:rsid w:val="002560DD"/>
    <w:rsid w:val="002579B6"/>
    <w:rsid w:val="002656FA"/>
    <w:rsid w:val="00281A6F"/>
    <w:rsid w:val="002925DB"/>
    <w:rsid w:val="002A01C3"/>
    <w:rsid w:val="002A21B3"/>
    <w:rsid w:val="002B1FF3"/>
    <w:rsid w:val="002F0A76"/>
    <w:rsid w:val="002F324C"/>
    <w:rsid w:val="00302921"/>
    <w:rsid w:val="00312093"/>
    <w:rsid w:val="003228DD"/>
    <w:rsid w:val="00327641"/>
    <w:rsid w:val="00346895"/>
    <w:rsid w:val="003469F6"/>
    <w:rsid w:val="003866B8"/>
    <w:rsid w:val="003A0590"/>
    <w:rsid w:val="003B2073"/>
    <w:rsid w:val="003B4C69"/>
    <w:rsid w:val="003C0115"/>
    <w:rsid w:val="003C7F5D"/>
    <w:rsid w:val="003E6F86"/>
    <w:rsid w:val="003F4B36"/>
    <w:rsid w:val="0040219C"/>
    <w:rsid w:val="004024F2"/>
    <w:rsid w:val="004275C9"/>
    <w:rsid w:val="00432D3E"/>
    <w:rsid w:val="004343D4"/>
    <w:rsid w:val="00465C5A"/>
    <w:rsid w:val="00470982"/>
    <w:rsid w:val="004836B2"/>
    <w:rsid w:val="004A1049"/>
    <w:rsid w:val="004A2AE6"/>
    <w:rsid w:val="004A5C44"/>
    <w:rsid w:val="004A6E1E"/>
    <w:rsid w:val="004C5CBD"/>
    <w:rsid w:val="004D2C18"/>
    <w:rsid w:val="004D3916"/>
    <w:rsid w:val="004D76C6"/>
    <w:rsid w:val="004E27FD"/>
    <w:rsid w:val="00505ECC"/>
    <w:rsid w:val="005129DA"/>
    <w:rsid w:val="00514EDB"/>
    <w:rsid w:val="00515E4B"/>
    <w:rsid w:val="0052068C"/>
    <w:rsid w:val="00527DE3"/>
    <w:rsid w:val="00532963"/>
    <w:rsid w:val="0054632B"/>
    <w:rsid w:val="00550D55"/>
    <w:rsid w:val="005620CC"/>
    <w:rsid w:val="00574FA0"/>
    <w:rsid w:val="00580F68"/>
    <w:rsid w:val="005B161C"/>
    <w:rsid w:val="005B5570"/>
    <w:rsid w:val="005C6167"/>
    <w:rsid w:val="005C77AE"/>
    <w:rsid w:val="005E70BE"/>
    <w:rsid w:val="005F1291"/>
    <w:rsid w:val="005F71FA"/>
    <w:rsid w:val="00603E02"/>
    <w:rsid w:val="006143A2"/>
    <w:rsid w:val="0061488C"/>
    <w:rsid w:val="00615794"/>
    <w:rsid w:val="00624D6A"/>
    <w:rsid w:val="00633B39"/>
    <w:rsid w:val="00670B50"/>
    <w:rsid w:val="00674970"/>
    <w:rsid w:val="0067574C"/>
    <w:rsid w:val="006846D7"/>
    <w:rsid w:val="00694489"/>
    <w:rsid w:val="006B1514"/>
    <w:rsid w:val="006B1A82"/>
    <w:rsid w:val="006D2D6E"/>
    <w:rsid w:val="006E76A4"/>
    <w:rsid w:val="006F0CD5"/>
    <w:rsid w:val="006F3118"/>
    <w:rsid w:val="006F49AF"/>
    <w:rsid w:val="007100AA"/>
    <w:rsid w:val="00750296"/>
    <w:rsid w:val="00750798"/>
    <w:rsid w:val="00756281"/>
    <w:rsid w:val="007648C7"/>
    <w:rsid w:val="00780DE5"/>
    <w:rsid w:val="00791EE3"/>
    <w:rsid w:val="007A30C8"/>
    <w:rsid w:val="007C2576"/>
    <w:rsid w:val="007C5E58"/>
    <w:rsid w:val="007D66D7"/>
    <w:rsid w:val="007E3CCC"/>
    <w:rsid w:val="007E3D9C"/>
    <w:rsid w:val="007E3DDE"/>
    <w:rsid w:val="007E4196"/>
    <w:rsid w:val="007E43CF"/>
    <w:rsid w:val="00854FE5"/>
    <w:rsid w:val="00863C6D"/>
    <w:rsid w:val="008814CF"/>
    <w:rsid w:val="008A3402"/>
    <w:rsid w:val="008B4341"/>
    <w:rsid w:val="008C0185"/>
    <w:rsid w:val="008D372C"/>
    <w:rsid w:val="008D783F"/>
    <w:rsid w:val="008F66D0"/>
    <w:rsid w:val="00903D22"/>
    <w:rsid w:val="00913B56"/>
    <w:rsid w:val="00924271"/>
    <w:rsid w:val="0093064F"/>
    <w:rsid w:val="00943BE7"/>
    <w:rsid w:val="00955046"/>
    <w:rsid w:val="00964F5E"/>
    <w:rsid w:val="00965306"/>
    <w:rsid w:val="00977F3C"/>
    <w:rsid w:val="00990151"/>
    <w:rsid w:val="00996E85"/>
    <w:rsid w:val="009B3EE6"/>
    <w:rsid w:val="009C193F"/>
    <w:rsid w:val="009C4F50"/>
    <w:rsid w:val="009D1C32"/>
    <w:rsid w:val="009F0E9A"/>
    <w:rsid w:val="009F4101"/>
    <w:rsid w:val="00A068DC"/>
    <w:rsid w:val="00A06B4C"/>
    <w:rsid w:val="00A12D89"/>
    <w:rsid w:val="00A14244"/>
    <w:rsid w:val="00A8532B"/>
    <w:rsid w:val="00A85467"/>
    <w:rsid w:val="00AA188A"/>
    <w:rsid w:val="00AA3D9F"/>
    <w:rsid w:val="00AB0FC4"/>
    <w:rsid w:val="00AE008D"/>
    <w:rsid w:val="00AE63E1"/>
    <w:rsid w:val="00B1278E"/>
    <w:rsid w:val="00B61BAD"/>
    <w:rsid w:val="00B62B8C"/>
    <w:rsid w:val="00B67419"/>
    <w:rsid w:val="00B7638F"/>
    <w:rsid w:val="00B85234"/>
    <w:rsid w:val="00B877CF"/>
    <w:rsid w:val="00BA047A"/>
    <w:rsid w:val="00BA6003"/>
    <w:rsid w:val="00BB14CA"/>
    <w:rsid w:val="00BB753B"/>
    <w:rsid w:val="00BF7BCE"/>
    <w:rsid w:val="00C04638"/>
    <w:rsid w:val="00C15CFE"/>
    <w:rsid w:val="00C34415"/>
    <w:rsid w:val="00C46145"/>
    <w:rsid w:val="00C549F5"/>
    <w:rsid w:val="00C6355A"/>
    <w:rsid w:val="00C63C52"/>
    <w:rsid w:val="00CC7246"/>
    <w:rsid w:val="00CE5700"/>
    <w:rsid w:val="00CF02D2"/>
    <w:rsid w:val="00CF0A80"/>
    <w:rsid w:val="00D13624"/>
    <w:rsid w:val="00D17CE8"/>
    <w:rsid w:val="00D2580D"/>
    <w:rsid w:val="00D37675"/>
    <w:rsid w:val="00D46FE8"/>
    <w:rsid w:val="00D64D51"/>
    <w:rsid w:val="00D6790A"/>
    <w:rsid w:val="00D72678"/>
    <w:rsid w:val="00D80EB1"/>
    <w:rsid w:val="00D85869"/>
    <w:rsid w:val="00D94CD9"/>
    <w:rsid w:val="00DB07D9"/>
    <w:rsid w:val="00DB5A4F"/>
    <w:rsid w:val="00DC150C"/>
    <w:rsid w:val="00DC265E"/>
    <w:rsid w:val="00DD0157"/>
    <w:rsid w:val="00DD38A2"/>
    <w:rsid w:val="00DF42DC"/>
    <w:rsid w:val="00DF49B3"/>
    <w:rsid w:val="00E01156"/>
    <w:rsid w:val="00E2255D"/>
    <w:rsid w:val="00E337B2"/>
    <w:rsid w:val="00E53A17"/>
    <w:rsid w:val="00E61F48"/>
    <w:rsid w:val="00E64784"/>
    <w:rsid w:val="00E7682D"/>
    <w:rsid w:val="00EA3937"/>
    <w:rsid w:val="00EB0C59"/>
    <w:rsid w:val="00EB0C73"/>
    <w:rsid w:val="00EC1134"/>
    <w:rsid w:val="00EC5473"/>
    <w:rsid w:val="00EF2468"/>
    <w:rsid w:val="00F1793E"/>
    <w:rsid w:val="00F32040"/>
    <w:rsid w:val="00F45B6C"/>
    <w:rsid w:val="00F47B2F"/>
    <w:rsid w:val="00F47E2B"/>
    <w:rsid w:val="00F50077"/>
    <w:rsid w:val="00F6782E"/>
    <w:rsid w:val="00F71CF5"/>
    <w:rsid w:val="00F81C32"/>
    <w:rsid w:val="00FA0F41"/>
    <w:rsid w:val="00FA2C5D"/>
    <w:rsid w:val="00FC744B"/>
    <w:rsid w:val="00FE133D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D2FC6"/>
  <w15:chartTrackingRefBased/>
  <w15:docId w15:val="{54886BF0-D635-4ECE-8143-BB80A5BB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56F"/>
    <w:pPr>
      <w:autoSpaceDE w:val="0"/>
      <w:autoSpaceDN w:val="0"/>
    </w:pPr>
    <w:rPr>
      <w:rFonts w:ascii="Times New Roman" w:eastAsia="宋体" w:hAnsi="Times New Roman" w:cs="Times New Roman"/>
      <w:kern w:val="0"/>
      <w:sz w:val="20"/>
      <w:szCs w:val="20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rsid w:val="00DD38A2"/>
    <w:pPr>
      <w:keepNext/>
      <w:keepLines/>
      <w:spacing w:before="360" w:after="120"/>
      <w:outlineLvl w:val="0"/>
    </w:pPr>
    <w:rPr>
      <w:rFonts w:eastAsia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793E"/>
    <w:pPr>
      <w:keepNext/>
      <w:keepLines/>
      <w:spacing w:before="180" w:after="120"/>
      <w:outlineLvl w:val="1"/>
    </w:pPr>
    <w:rPr>
      <w:rFonts w:eastAsia="Times New Roman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F02D2"/>
    <w:pPr>
      <w:keepNext/>
      <w:keepLines/>
      <w:spacing w:before="120" w:after="60"/>
      <w:outlineLvl w:val="2"/>
    </w:pPr>
    <w:rPr>
      <w:rFonts w:eastAsia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56F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07556F"/>
  </w:style>
  <w:style w:type="paragraph" w:styleId="a5">
    <w:name w:val="footer"/>
    <w:basedOn w:val="a"/>
    <w:link w:val="a6"/>
    <w:uiPriority w:val="99"/>
    <w:unhideWhenUsed/>
    <w:rsid w:val="0007556F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07556F"/>
  </w:style>
  <w:style w:type="paragraph" w:customStyle="1" w:styleId="TTPTitle">
    <w:name w:val="TTP Title"/>
    <w:basedOn w:val="a"/>
    <w:next w:val="TTPAuthors"/>
    <w:uiPriority w:val="99"/>
    <w:rsid w:val="0007556F"/>
    <w:pPr>
      <w:spacing w:after="120"/>
      <w:jc w:val="center"/>
    </w:pPr>
    <w:rPr>
      <w:rFonts w:ascii="Arial" w:hAnsi="Arial" w:cs="Arial"/>
      <w:b/>
      <w:bCs/>
      <w:sz w:val="30"/>
      <w:szCs w:val="30"/>
      <w:lang w:val="en-US"/>
    </w:rPr>
  </w:style>
  <w:style w:type="paragraph" w:customStyle="1" w:styleId="TTPAuthors">
    <w:name w:val="TTP Author(s)"/>
    <w:basedOn w:val="a"/>
    <w:next w:val="TTPAddress"/>
    <w:uiPriority w:val="99"/>
    <w:rsid w:val="0007556F"/>
    <w:pPr>
      <w:spacing w:before="120"/>
      <w:jc w:val="center"/>
    </w:pPr>
    <w:rPr>
      <w:rFonts w:ascii="Arial" w:hAnsi="Arial" w:cs="Arial"/>
      <w:sz w:val="28"/>
      <w:szCs w:val="28"/>
      <w:lang w:val="en-US"/>
    </w:rPr>
  </w:style>
  <w:style w:type="paragraph" w:customStyle="1" w:styleId="TTPAddress">
    <w:name w:val="TTP Address"/>
    <w:basedOn w:val="a"/>
    <w:uiPriority w:val="99"/>
    <w:rsid w:val="0007556F"/>
    <w:pPr>
      <w:spacing w:before="120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TTPSectionHeading">
    <w:name w:val="TTP Section Heading"/>
    <w:basedOn w:val="a"/>
    <w:next w:val="a"/>
    <w:uiPriority w:val="99"/>
    <w:rsid w:val="0007556F"/>
    <w:pPr>
      <w:spacing w:before="360" w:after="120"/>
      <w:jc w:val="both"/>
    </w:pPr>
    <w:rPr>
      <w:b/>
      <w:bCs/>
      <w:sz w:val="24"/>
      <w:szCs w:val="24"/>
      <w:lang w:val="en-US"/>
    </w:rPr>
  </w:style>
  <w:style w:type="paragraph" w:customStyle="1" w:styleId="TTPParagraphothers">
    <w:name w:val="TTP Paragraph (others)"/>
    <w:basedOn w:val="a"/>
    <w:link w:val="TTPParagraphothers0"/>
    <w:uiPriority w:val="99"/>
    <w:rsid w:val="0007556F"/>
    <w:pPr>
      <w:ind w:firstLine="283"/>
      <w:jc w:val="both"/>
    </w:pPr>
    <w:rPr>
      <w:sz w:val="24"/>
      <w:szCs w:val="24"/>
      <w:lang w:val="en-US"/>
    </w:rPr>
  </w:style>
  <w:style w:type="paragraph" w:customStyle="1" w:styleId="TTPReference">
    <w:name w:val="TTP Reference"/>
    <w:basedOn w:val="a"/>
    <w:rsid w:val="0007556F"/>
    <w:pPr>
      <w:tabs>
        <w:tab w:val="left" w:pos="426"/>
      </w:tabs>
      <w:spacing w:after="120" w:line="288" w:lineRule="atLeast"/>
      <w:jc w:val="both"/>
    </w:pPr>
    <w:rPr>
      <w:sz w:val="24"/>
      <w:szCs w:val="24"/>
    </w:rPr>
  </w:style>
  <w:style w:type="paragraph" w:customStyle="1" w:styleId="TTPKeywords">
    <w:name w:val="TTP Keywords"/>
    <w:basedOn w:val="a"/>
    <w:next w:val="TTPAbstract"/>
    <w:uiPriority w:val="99"/>
    <w:rsid w:val="0007556F"/>
    <w:pPr>
      <w:spacing w:before="36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TTPAbstract">
    <w:name w:val="TTP Abstract"/>
    <w:basedOn w:val="a"/>
    <w:next w:val="TTPSectionHeading"/>
    <w:rsid w:val="0007556F"/>
    <w:pPr>
      <w:spacing w:before="360"/>
      <w:jc w:val="both"/>
    </w:pPr>
    <w:rPr>
      <w:sz w:val="24"/>
      <w:szCs w:val="24"/>
      <w:lang w:val="en-US"/>
    </w:rPr>
  </w:style>
  <w:style w:type="character" w:customStyle="1" w:styleId="Char">
    <w:name w:val="页眉 Char"/>
    <w:uiPriority w:val="99"/>
    <w:semiHidden/>
    <w:locked/>
    <w:rsid w:val="0007556F"/>
    <w:rPr>
      <w:rFonts w:cs="Times New Roman"/>
      <w:sz w:val="20"/>
      <w:szCs w:val="20"/>
      <w:lang w:val="de-DE" w:eastAsia="en-US"/>
    </w:rPr>
  </w:style>
  <w:style w:type="character" w:styleId="a7">
    <w:name w:val="Hyperlink"/>
    <w:uiPriority w:val="99"/>
    <w:rsid w:val="0007556F"/>
    <w:rPr>
      <w:rFonts w:cs="Times New Roman"/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38A2"/>
    <w:rPr>
      <w:rFonts w:ascii="Times New Roman" w:eastAsia="Times New Roman" w:hAnsi="Times New Roman" w:cs="Times New Roman"/>
      <w:b/>
      <w:bCs/>
      <w:kern w:val="44"/>
      <w:sz w:val="28"/>
      <w:szCs w:val="44"/>
      <w:lang w:val="de-DE" w:eastAsia="en-US"/>
    </w:rPr>
  </w:style>
  <w:style w:type="character" w:customStyle="1" w:styleId="20">
    <w:name w:val="标题 2 字符"/>
    <w:basedOn w:val="a0"/>
    <w:link w:val="2"/>
    <w:uiPriority w:val="9"/>
    <w:rsid w:val="00F1793E"/>
    <w:rPr>
      <w:rFonts w:ascii="Times New Roman" w:eastAsia="Times New Roman" w:hAnsi="Times New Roman" w:cstheme="majorBidi"/>
      <w:b/>
      <w:bCs/>
      <w:kern w:val="0"/>
      <w:sz w:val="24"/>
      <w:szCs w:val="32"/>
      <w:lang w:val="de-DE" w:eastAsia="en-US"/>
    </w:rPr>
  </w:style>
  <w:style w:type="paragraph" w:styleId="a8">
    <w:name w:val="List Paragraph"/>
    <w:basedOn w:val="a"/>
    <w:uiPriority w:val="34"/>
    <w:qFormat/>
    <w:rsid w:val="00CF02D2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CF02D2"/>
    <w:rPr>
      <w:rFonts w:ascii="Times New Roman" w:eastAsia="Times New Roman" w:hAnsi="Times New Roman" w:cs="Times New Roman"/>
      <w:b/>
      <w:bCs/>
      <w:kern w:val="0"/>
      <w:sz w:val="24"/>
      <w:szCs w:val="32"/>
      <w:lang w:val="de-DE" w:eastAsia="en-US"/>
    </w:rPr>
  </w:style>
  <w:style w:type="paragraph" w:customStyle="1" w:styleId="references0">
    <w:name w:val="references"/>
    <w:uiPriority w:val="99"/>
    <w:rsid w:val="00E337B2"/>
    <w:pPr>
      <w:numPr>
        <w:numId w:val="5"/>
      </w:numPr>
      <w:tabs>
        <w:tab w:val="left" w:pos="360"/>
      </w:tabs>
      <w:spacing w:after="50" w:line="180" w:lineRule="exact"/>
      <w:jc w:val="both"/>
    </w:pPr>
    <w:rPr>
      <w:rFonts w:ascii="Times New Roman" w:eastAsia="宋体" w:hAnsi="Times New Roman" w:cs="Times New Roman"/>
      <w:kern w:val="0"/>
      <w:sz w:val="16"/>
      <w:szCs w:val="16"/>
      <w:lang w:eastAsia="en-US"/>
    </w:rPr>
  </w:style>
  <w:style w:type="paragraph" w:customStyle="1" w:styleId="Reference">
    <w:name w:val="Reference"/>
    <w:basedOn w:val="a"/>
    <w:rsid w:val="00E337B2"/>
    <w:pPr>
      <w:autoSpaceDE/>
      <w:autoSpaceDN/>
      <w:ind w:left="720" w:hanging="360"/>
      <w:jc w:val="both"/>
    </w:pPr>
    <w:rPr>
      <w:rFonts w:eastAsiaTheme="minorEastAsia"/>
      <w:lang w:val="en-US"/>
    </w:rPr>
  </w:style>
  <w:style w:type="table" w:styleId="a9">
    <w:name w:val="Table Grid"/>
    <w:basedOn w:val="a1"/>
    <w:uiPriority w:val="39"/>
    <w:rsid w:val="00327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311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F3118"/>
    <w:rPr>
      <w:rFonts w:ascii="Times New Roman" w:eastAsia="宋体" w:hAnsi="Times New Roman" w:cs="Times New Roman"/>
      <w:kern w:val="0"/>
      <w:sz w:val="18"/>
      <w:szCs w:val="18"/>
      <w:lang w:val="de-DE" w:eastAsia="en-US"/>
    </w:rPr>
  </w:style>
  <w:style w:type="table" w:styleId="11">
    <w:name w:val="Plain Table 1"/>
    <w:basedOn w:val="a1"/>
    <w:uiPriority w:val="41"/>
    <w:rsid w:val="000E63FC"/>
    <w:rPr>
      <w:kern w:val="0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eferences">
    <w:name w:val="References"/>
    <w:basedOn w:val="a"/>
    <w:link w:val="References1"/>
    <w:qFormat/>
    <w:rsid w:val="000E63FC"/>
    <w:pPr>
      <w:numPr>
        <w:numId w:val="6"/>
      </w:numPr>
      <w:spacing w:after="120" w:line="200" w:lineRule="exact"/>
      <w:ind w:left="212" w:hangingChars="212" w:hanging="212"/>
      <w:jc w:val="both"/>
    </w:pPr>
    <w:rPr>
      <w:rFonts w:eastAsia="Times New Roman"/>
      <w:sz w:val="18"/>
      <w:szCs w:val="18"/>
    </w:rPr>
  </w:style>
  <w:style w:type="character" w:customStyle="1" w:styleId="References1">
    <w:name w:val="References 字符"/>
    <w:basedOn w:val="a0"/>
    <w:link w:val="References"/>
    <w:rsid w:val="000E63FC"/>
    <w:rPr>
      <w:rFonts w:ascii="Times New Roman" w:eastAsia="Times New Roman" w:hAnsi="Times New Roman" w:cs="Times New Roman"/>
      <w:kern w:val="0"/>
      <w:sz w:val="18"/>
      <w:szCs w:val="18"/>
      <w:lang w:val="de-DE" w:eastAsia="en-US"/>
    </w:rPr>
  </w:style>
  <w:style w:type="paragraph" w:customStyle="1" w:styleId="Formula">
    <w:name w:val="Formula"/>
    <w:basedOn w:val="a"/>
    <w:link w:val="Formula0"/>
    <w:qFormat/>
    <w:rsid w:val="000E63FC"/>
    <w:pPr>
      <w:widowControl w:val="0"/>
      <w:autoSpaceDE/>
      <w:autoSpaceDN/>
      <w:spacing w:before="120" w:after="120"/>
      <w:jc w:val="right"/>
    </w:pPr>
    <w:rPr>
      <w:rFonts w:eastAsia="Times New Roman"/>
      <w:kern w:val="2"/>
      <w:lang w:val="en-US" w:eastAsia="zh-CN"/>
    </w:rPr>
  </w:style>
  <w:style w:type="character" w:customStyle="1" w:styleId="Formula0">
    <w:name w:val="Formula 字符"/>
    <w:basedOn w:val="a0"/>
    <w:link w:val="Formula"/>
    <w:rsid w:val="000E63FC"/>
    <w:rPr>
      <w:rFonts w:ascii="Times New Roman" w:eastAsia="Times New Roman" w:hAnsi="Times New Roman" w:cs="Times New Roman"/>
      <w:sz w:val="20"/>
      <w:szCs w:val="20"/>
    </w:rPr>
  </w:style>
  <w:style w:type="paragraph" w:customStyle="1" w:styleId="Figure">
    <w:name w:val="Figure"/>
    <w:basedOn w:val="TTPParagraphothers"/>
    <w:link w:val="Figure0"/>
    <w:qFormat/>
    <w:rsid w:val="000E63FC"/>
    <w:pPr>
      <w:spacing w:before="60" w:after="60" w:line="200" w:lineRule="exact"/>
      <w:ind w:firstLine="0"/>
      <w:jc w:val="center"/>
    </w:pPr>
    <w:rPr>
      <w:sz w:val="18"/>
      <w:szCs w:val="18"/>
    </w:rPr>
  </w:style>
  <w:style w:type="character" w:customStyle="1" w:styleId="TTPParagraphothers0">
    <w:name w:val="TTP Paragraph (others) 字符"/>
    <w:basedOn w:val="a0"/>
    <w:link w:val="TTPParagraphothers"/>
    <w:uiPriority w:val="99"/>
    <w:rsid w:val="000E63FC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customStyle="1" w:styleId="Figure0">
    <w:name w:val="Figure 字符"/>
    <w:basedOn w:val="TTPParagraphothers0"/>
    <w:link w:val="Figure"/>
    <w:rsid w:val="000E63FC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c">
    <w:name w:val="Unresolved Mention"/>
    <w:basedOn w:val="a0"/>
    <w:uiPriority w:val="99"/>
    <w:semiHidden/>
    <w:unhideWhenUsed/>
    <w:rsid w:val="000C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2413-D651-4BD6-AA5B-A5D91E81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3113</Words>
  <Characters>17745</Characters>
  <Application>Microsoft Office Word</Application>
  <DocSecurity>0</DocSecurity>
  <Lines>147</Lines>
  <Paragraphs>41</Paragraphs>
  <ScaleCrop>false</ScaleCrop>
  <Company/>
  <LinksUpToDate>false</LinksUpToDate>
  <CharactersWithSpaces>20817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DRP</dc:creator>
  <cp:keywords/>
  <dc:description/>
  <cp:lastModifiedBy>administrton</cp:lastModifiedBy>
  <cp:revision>5</cp:revision>
  <cp:lastPrinted>2021-10-18T07:31:00Z</cp:lastPrinted>
  <dcterms:created xsi:type="dcterms:W3CDTF">2024-03-21T12:49:00Z</dcterms:created>
  <dcterms:modified xsi:type="dcterms:W3CDTF">2024-04-08T07:28:00Z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