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F578" w14:textId="77777777" w:rsidR="00560023" w:rsidRPr="00560023" w:rsidRDefault="00560023" w:rsidP="00560023">
      <w:pPr>
        <w:pStyle w:val="TTPTitle"/>
        <w:spacing w:before="120"/>
        <w:rPr>
          <w:sz w:val="32"/>
          <w:szCs w:val="28"/>
        </w:rPr>
      </w:pPr>
      <w:r w:rsidRPr="00560023">
        <w:rPr>
          <w:rFonts w:hint="eastAsia"/>
          <w:sz w:val="32"/>
          <w:szCs w:val="28"/>
        </w:rPr>
        <w:t>T</w:t>
      </w:r>
      <w:r w:rsidRPr="00560023">
        <w:rPr>
          <w:sz w:val="32"/>
          <w:szCs w:val="28"/>
        </w:rPr>
        <w:t>he Application Scenarios of Energy Storage Technology Based on the Integrated System of Light, Storage and Charging</w:t>
      </w:r>
    </w:p>
    <w:p w14:paraId="2FE1C799" w14:textId="77777777" w:rsidR="00560023" w:rsidRPr="00730DEF" w:rsidRDefault="00560023" w:rsidP="00560023">
      <w:pPr>
        <w:pStyle w:val="TTPAuthors"/>
        <w:spacing w:before="240"/>
      </w:pPr>
      <w:r w:rsidRPr="00730DEF">
        <w:t>Qing Xu</w:t>
      </w:r>
    </w:p>
    <w:p w14:paraId="03B30B9B" w14:textId="77777777" w:rsidR="00560023" w:rsidRPr="00560023" w:rsidRDefault="00560023" w:rsidP="00560023">
      <w:pPr>
        <w:pStyle w:val="TTPAddress"/>
      </w:pPr>
      <w:r w:rsidRPr="00560023">
        <w:t>School of Electrical Engineering and Automation,</w:t>
      </w:r>
      <w:r w:rsidRPr="00560023">
        <w:rPr>
          <w:rFonts w:hint="eastAsia"/>
        </w:rPr>
        <w:t xml:space="preserve"> </w:t>
      </w:r>
      <w:r w:rsidRPr="00560023">
        <w:t>Xiamen University of Technology, Xiamen, China</w:t>
      </w:r>
    </w:p>
    <w:p w14:paraId="63926086" w14:textId="06D0F6AE" w:rsidR="00560023" w:rsidRPr="00DD4E1D" w:rsidRDefault="00560023" w:rsidP="00560023">
      <w:pPr>
        <w:pStyle w:val="TTPAddress"/>
        <w:rPr>
          <w:lang w:eastAsia="zh-CN"/>
        </w:rPr>
      </w:pPr>
      <w:r w:rsidRPr="00560023">
        <w:rPr>
          <w:rFonts w:hint="eastAsia"/>
          <w:lang w:eastAsia="zh-CN"/>
        </w:rPr>
        <w:t>xq3166365325@outlook.com</w:t>
      </w:r>
    </w:p>
    <w:p w14:paraId="74B7BDCB" w14:textId="17FB28BA" w:rsidR="0007556F" w:rsidRPr="005620CC" w:rsidRDefault="0007556F" w:rsidP="0007556F">
      <w:pPr>
        <w:pStyle w:val="TTPAbstract"/>
        <w:spacing w:before="180"/>
        <w:rPr>
          <w:rFonts w:ascii="Arial" w:hAnsi="Arial" w:cs="Arial"/>
          <w:sz w:val="22"/>
        </w:rPr>
      </w:pPr>
      <w:r w:rsidRPr="005620CC">
        <w:rPr>
          <w:rFonts w:ascii="Arial" w:hAnsi="Arial" w:cs="Arial"/>
          <w:b/>
          <w:sz w:val="22"/>
        </w:rPr>
        <w:t xml:space="preserve">Abstract. </w:t>
      </w:r>
      <w:r w:rsidR="00560023" w:rsidRPr="00560023">
        <w:rPr>
          <w:rFonts w:ascii="Arial" w:hAnsi="Arial" w:cs="Arial"/>
          <w:sz w:val="22"/>
        </w:rPr>
        <w:t>The case that this paper examines is the use of the energy storage technology on the basis of the integrated photovoltaic, storage and charging system in various situations. To begin with, the current research stasis of the integrated photovoltaic-storage-charging systems and the energy storage technologies in the country and internationally was systematically reviewed. The principle of the structure and functioning of the system were examined and the peculiarities of the common types of energy storage technologies, as well as their detailed interpretation, were given. The present paper is a systematic investigation of the application features and usefulness of energy storage technology in the urban environment (residential and commercial), rural one (agricultural production and household electricity consumption) and in park-based areas (industrial and technological parks), and in the connection of power station, finding out the most important technical issues of each of the scenarios. The study also determines the technical and market-level issues that the development of energy storage technologies is facing currently and the respective optimization strategies and policy recommendations. According to the findings, energy storage technology in integrated photovoltaic-storage-charging systems has a high adaptability and a potential to develop at a great extent in a wide range of application inspections. However, some technical improvements and localized market promotion strategies are required to take advantage of the specificity of the given case to the maximum. Lastly, energy storage technology future development trends and prospects of its industrial application are considered.</w:t>
      </w:r>
    </w:p>
    <w:p w14:paraId="7787A6C8" w14:textId="2CA82554" w:rsidR="000E63FC" w:rsidRPr="00560023" w:rsidRDefault="0007556F" w:rsidP="00560023">
      <w:pPr>
        <w:pStyle w:val="TTPKeywords"/>
        <w:spacing w:before="180"/>
      </w:pPr>
      <w:r w:rsidRPr="00DD4E1D">
        <w:rPr>
          <w:b/>
          <w:bCs/>
        </w:rPr>
        <w:t>Keywords:</w:t>
      </w:r>
      <w:r w:rsidRPr="00DD4E1D">
        <w:t xml:space="preserve"> </w:t>
      </w:r>
      <w:r w:rsidR="00560023" w:rsidRPr="00560023">
        <w:t>Integrated photovoltaic-storage-charging system</w:t>
      </w:r>
      <w:r w:rsidR="00560023">
        <w:t>,</w:t>
      </w:r>
      <w:r w:rsidR="00560023" w:rsidRPr="00560023">
        <w:t xml:space="preserve"> Energy storage technology</w:t>
      </w:r>
      <w:r w:rsidR="00560023">
        <w:t>,</w:t>
      </w:r>
      <w:r w:rsidR="00560023" w:rsidRPr="00560023">
        <w:t xml:space="preserve"> Urban applications</w:t>
      </w:r>
      <w:r w:rsidR="00560023">
        <w:t xml:space="preserve">, </w:t>
      </w:r>
      <w:r w:rsidR="00560023" w:rsidRPr="00560023">
        <w:t>Rural applications</w:t>
      </w:r>
      <w:r w:rsidR="000E63FC" w:rsidRPr="00DD4E1D">
        <w:t>.</w:t>
      </w:r>
    </w:p>
    <w:p w14:paraId="520964A3" w14:textId="77777777" w:rsidR="00560023" w:rsidRPr="00560023" w:rsidRDefault="00560023" w:rsidP="00560023">
      <w:pPr>
        <w:pStyle w:val="1"/>
        <w:numPr>
          <w:ilvl w:val="0"/>
          <w:numId w:val="9"/>
        </w:numPr>
        <w:tabs>
          <w:tab w:val="num" w:pos="561"/>
        </w:tabs>
        <w:ind w:left="420" w:hanging="420"/>
      </w:pPr>
      <w:r w:rsidRPr="00560023">
        <w:t>Introduction</w:t>
      </w:r>
    </w:p>
    <w:p w14:paraId="4D66B355" w14:textId="77777777" w:rsidR="00560023" w:rsidRPr="00560023" w:rsidRDefault="00560023" w:rsidP="00560023">
      <w:pPr>
        <w:pStyle w:val="TTPParagraphothers"/>
      </w:pPr>
      <w:r w:rsidRPr="00560023">
        <w:t xml:space="preserve">The case present in the current paper is the application of the energy storage technology on the grounds of the integrated photovoltaic, storage and charging system in diverse circumstances. First, the existing research stalemate of the photovoltaic-storage-charging systems integrated and the energy storage technologies within the country and abroad was critically examined. The principle of the system structure and functioning were analyzed and peculiarities of the popular types of energy storage technologies and their detailed interpretation were provided. The given paper is a methodical exploration of the use characteristics and utility of the use of the energy storage technology in the urban setting (residential and business), rural setting (agriculture production and household electric consumption), and in parks (industrial and technological parks), and the interdependence between the power plant and the discovery of the most significant technical concerns of all the scenarios. It is also decided in the study what market-level and technical issues the current development of energy storage technologies </w:t>
      </w:r>
      <w:proofErr w:type="gramStart"/>
      <w:r w:rsidRPr="00560023">
        <w:t>are</w:t>
      </w:r>
      <w:proofErr w:type="gramEnd"/>
      <w:r w:rsidRPr="00560023">
        <w:t xml:space="preserve"> experiencing and which optimization and policy proposals are the suitable ones. As per the results, energy storage technology in sponsored photovoltaic-charging-storage works is highly flexible and a possibility to evolve to an extremely significant level amid an expansive spectrum of application inspections. Nevertheless, there is a need in some technical enhancement and localized market promotion strategies to maximize the specificity of the given case. Finally, the trends and opportunities of the storage of energy technology development and the prospects of its industrial use are taken into account.</w:t>
      </w:r>
    </w:p>
    <w:p w14:paraId="77FA8FDA" w14:textId="77777777" w:rsidR="00560023" w:rsidRPr="00560023" w:rsidRDefault="00560023" w:rsidP="00560023">
      <w:pPr>
        <w:pStyle w:val="1"/>
        <w:numPr>
          <w:ilvl w:val="0"/>
          <w:numId w:val="9"/>
        </w:numPr>
        <w:tabs>
          <w:tab w:val="num" w:pos="561"/>
        </w:tabs>
        <w:ind w:left="420" w:hanging="420"/>
      </w:pPr>
      <w:r w:rsidRPr="00560023">
        <w:lastRenderedPageBreak/>
        <w:t>Summary of Integrated Photovoltaic, Storage, and Charging Systems and Energy Storage Technologies</w:t>
      </w:r>
    </w:p>
    <w:p w14:paraId="626DA570" w14:textId="44BA8ADB" w:rsidR="00560023" w:rsidRPr="00560023" w:rsidRDefault="00560023" w:rsidP="00560023">
      <w:pPr>
        <w:pStyle w:val="2"/>
        <w:numPr>
          <w:ilvl w:val="1"/>
          <w:numId w:val="9"/>
        </w:numPr>
        <w:ind w:left="420" w:hanging="420"/>
      </w:pPr>
      <w:r w:rsidRPr="00560023">
        <w:t>Integrated Photovoltaic Storage and Charging System</w:t>
      </w:r>
    </w:p>
    <w:p w14:paraId="2370B4A6" w14:textId="77777777" w:rsidR="00560023" w:rsidRPr="00560023" w:rsidRDefault="00560023" w:rsidP="00560023">
      <w:pPr>
        <w:pStyle w:val="3"/>
      </w:pPr>
      <w:bookmarkStart w:id="0" w:name="_Hlk218936571"/>
      <w:r w:rsidRPr="00560023">
        <w:t>2.1.1</w:t>
      </w:r>
      <w:bookmarkEnd w:id="0"/>
      <w:r w:rsidRPr="00560023">
        <w:t>. The Core Structural Composition of the System</w:t>
      </w:r>
    </w:p>
    <w:p w14:paraId="35CEFA8E" w14:textId="77777777" w:rsidR="00560023" w:rsidRPr="00560023" w:rsidRDefault="00560023" w:rsidP="00560023">
      <w:pPr>
        <w:pStyle w:val="TTPParagraphothers"/>
      </w:pPr>
      <w:r w:rsidRPr="00560023">
        <w:t>The basic design of the integrated photovoltaic storage and charging system primarily comprises of three key components, photovoltaics power generation units, energy repositories, and charging units [1]. Photovoltaic electric power production facilities employ either monocrystalline silicon or polycrystalline silicon solar panels, whose conversion efficiency is up to 18 to 22 percent. The inverters convert direct current into alternating current [2]. The storage units of energy are a major buffering factor in the system and are currently largely lithium-ion based batteries. Charging infrastructure consists of two major categories of charging stations: AC and DC fast-charging stations, and is combined with an intelligent platform of charging management.</w:t>
      </w:r>
    </w:p>
    <w:p w14:paraId="606EE08B" w14:textId="77777777" w:rsidR="00560023" w:rsidRPr="00560023" w:rsidRDefault="00560023" w:rsidP="00560023">
      <w:pPr>
        <w:pStyle w:val="3"/>
      </w:pPr>
      <w:r w:rsidRPr="00560023">
        <w:t>2.1.2. The Operating Principle of the Integrated Photovoltaic Storage and Charging System</w:t>
      </w:r>
    </w:p>
    <w:p w14:paraId="18A90EDD" w14:textId="77777777" w:rsidR="00560023" w:rsidRPr="00560023" w:rsidRDefault="00560023" w:rsidP="00560023">
      <w:pPr>
        <w:pStyle w:val="TTPParagraphothers"/>
      </w:pPr>
      <w:r w:rsidRPr="00560023">
        <w:t>The work principle of the integrated photovoltaic, storage, and charging system is based on the coordinated work of photovoltaic power generation, energy storage units, and charging infrastructure. Solar energy is then translated to electrical energy by the photovoltaic modules with inverters to generate alternating current which is weighed to the charging stations. In case of excess generation compared to the immediate requirements of the charging, excess energy is directed out through a bidirectional converter and is stored in the lithium-ion battery system. The energy storage system is reversed to provide the power to load during the nighttime when the amount of sunlight is low. The system uses an energy management system to offer real-time coordination and dispatch. It controls the primary parameters which are the output of photovoltaic generation, the pattern of load demand, and the signal of electricity price to implement the optimized control measures to attain load leveling, valley filling, and peak shaving.</w:t>
      </w:r>
    </w:p>
    <w:p w14:paraId="28ABEA03" w14:textId="1BE1DB92" w:rsidR="00560023" w:rsidRPr="00560023" w:rsidRDefault="00560023" w:rsidP="00560023">
      <w:pPr>
        <w:pStyle w:val="2"/>
        <w:numPr>
          <w:ilvl w:val="1"/>
          <w:numId w:val="9"/>
        </w:numPr>
        <w:ind w:left="420" w:hanging="420"/>
      </w:pPr>
      <w:r w:rsidRPr="00560023">
        <w:t>Types of Energy Storage Technologies</w:t>
      </w:r>
    </w:p>
    <w:p w14:paraId="663D31A1" w14:textId="77777777" w:rsidR="00560023" w:rsidRPr="00560023" w:rsidRDefault="00560023" w:rsidP="00560023">
      <w:pPr>
        <w:pStyle w:val="TTPParagraphothers"/>
      </w:pPr>
      <w:r w:rsidRPr="00560023">
        <w:t>The energy storage system is vital in the integrated photovoltaic power generation projects that involve light, storage, and charging and the operational status of the energy storage system determinately affects the overall safety and reliability of the entire power station. Personally, in the context of integrated photovoltaic, storage, and charging systems, the energy storage technologies that are widely used are broadly grouped into three categories namely; electrochemical, mechanical, and electromagnetic energy storage. Some examples of technologies that are used in storing electrochemical energy include lithium-ion batteries, lead-acid batteries and flow batteries. The most important of these have been the lithium-ion batteries due to their high energy density and quick response time. Some of the methods of mechanical energy storage include pumped hydro storage, compressed air energy storage, and flywheel energy storage. Pumped hydro storage is one of them and its benefits are that it has a higher single unit capacity and its life cycle is much higher than those of other forms although it is significantly limited by geographical constraints. Supercapacitors and superconducting magnetic energy storage are among the technologies in electromagnetic energy storage. Supercapacitors have power density that is very high and capacity to have large cycle life, which is why they can be effectively utilized whereby charge and discharge cycles are frequent.</w:t>
      </w:r>
    </w:p>
    <w:p w14:paraId="54A5E4B3" w14:textId="62D5290A" w:rsidR="00560023" w:rsidRPr="00560023" w:rsidRDefault="00560023" w:rsidP="00560023">
      <w:pPr>
        <w:pStyle w:val="2"/>
        <w:numPr>
          <w:ilvl w:val="1"/>
          <w:numId w:val="9"/>
        </w:numPr>
        <w:ind w:left="420" w:hanging="420"/>
      </w:pPr>
      <w:r w:rsidRPr="00560023">
        <w:t>Current State of International and Domestic Research</w:t>
      </w:r>
    </w:p>
    <w:p w14:paraId="7B43807D" w14:textId="77777777" w:rsidR="00560023" w:rsidRPr="00560023" w:rsidRDefault="00560023" w:rsidP="00560023">
      <w:pPr>
        <w:pStyle w:val="TTPParagraphothers"/>
      </w:pPr>
      <w:r w:rsidRPr="00560023">
        <w:t xml:space="preserve">The global research in the field of integrated photovoltaic, storage and charging systems started at a lower level. The current world research has evolved further than the technology validation principles to multi-scenario joint optimization and new business paradigm creation. Indicatively, California, the U.S., has had a grid-interactive photovoltaic storage and charging demonstration project where lithium battery energy storage was paired with intelligent dispatching systems; and Germany has had </w:t>
      </w:r>
      <w:r w:rsidRPr="00560023">
        <w:lastRenderedPageBreak/>
        <w:t>flow battery-based photovoltaic storage and charging systems deployed in industrial parks, to overcome issues of long-duration energy storage and systems stability.</w:t>
      </w:r>
    </w:p>
    <w:p w14:paraId="67A536F7" w14:textId="77777777" w:rsidR="00560023" w:rsidRPr="00560023" w:rsidRDefault="00560023" w:rsidP="00560023">
      <w:pPr>
        <w:pStyle w:val="TTPParagraphothers"/>
      </w:pPr>
      <w:r w:rsidRPr="00560023">
        <w:t>The two major areas of the research presented by China toward the development of an incorporated photovoltaic, storage, and charging systems are the optimization of the energy storage technology and the improvement of flexibility in varied application conditions. Nevertheless, the electricity market in China is less developed and well-established than the markets in Europe and America [3]. The combined photovoltaic storage and charging system in China is typically comprised of comparatively small merits of power systems, i.e., residential zones, industrial zones or electric cars charging stations. But today China has developed low voltage flexible DC technology which is quite mature and it can adopt the application scenario of the integrated photovoltaic storage and charging technology fully [4].</w:t>
      </w:r>
    </w:p>
    <w:p w14:paraId="483A8FCD" w14:textId="77777777" w:rsidR="00560023" w:rsidRPr="00560023" w:rsidRDefault="00560023" w:rsidP="00560023">
      <w:pPr>
        <w:pStyle w:val="1"/>
        <w:numPr>
          <w:ilvl w:val="0"/>
          <w:numId w:val="9"/>
        </w:numPr>
        <w:tabs>
          <w:tab w:val="num" w:pos="561"/>
        </w:tabs>
        <w:ind w:left="420" w:hanging="420"/>
      </w:pPr>
      <w:r w:rsidRPr="00560023">
        <w:t>Analysis of the Application Scenarios of Energy Storage Technology in Integrated Photovoltaic Storage and Charging Systems</w:t>
      </w:r>
    </w:p>
    <w:p w14:paraId="09AB7ECC" w14:textId="69F92B1F" w:rsidR="00560023" w:rsidRPr="00560023" w:rsidRDefault="00560023" w:rsidP="00560023">
      <w:pPr>
        <w:pStyle w:val="2"/>
        <w:numPr>
          <w:ilvl w:val="1"/>
          <w:numId w:val="9"/>
        </w:numPr>
        <w:ind w:left="420" w:hanging="420"/>
      </w:pPr>
      <w:r w:rsidRPr="00560023">
        <w:t>Urban Scenes</w:t>
      </w:r>
    </w:p>
    <w:p w14:paraId="132C0AFD" w14:textId="77777777" w:rsidR="00560023" w:rsidRPr="00560023" w:rsidRDefault="00560023" w:rsidP="00560023">
      <w:pPr>
        <w:pStyle w:val="TTPParagraphothers"/>
      </w:pPr>
      <w:r w:rsidRPr="00560023">
        <w:t>Through integrated photovoltaic, storage, and charging systems, localized generation and consumption of energy in urban residential environments has been made possible to a great extent. Based on demand trends in cities, including concentrated peak loads during morning rush, evening rush, short duration of the peaks, space limitations, and demanding rapid response, integrated solutions should be adjusted accordingly. When the demand is low like in commuting hours, excess electricity produced in photovoltaic systems is mainly used to recharge the energy storage unit, with the excess remaining power channeled to the grid following the mechanism of the surplus-to-grid factor. In times of peak charging when the photovoltaic power production is greatly less than the load demand, the energy storage system discharges to fill the load demand [5]. The integrated photovoltaic storage and charging system can be shown to be of great benefits in managing energy in a way which the optimal coordination of photovoltaic power production, energy storage units, and the charging units happen in the urban commercial areas [6]. The system employs energy storage such as lithium-ion and flow batteries, which have rapid response and energy conversion rates, and so can be used to regulate the peak electricity demand in commercial areas.</w:t>
      </w:r>
    </w:p>
    <w:p w14:paraId="1BAE4C34" w14:textId="75C18D93" w:rsidR="00560023" w:rsidRPr="00560023" w:rsidRDefault="00560023" w:rsidP="00560023">
      <w:pPr>
        <w:pStyle w:val="2"/>
        <w:numPr>
          <w:ilvl w:val="1"/>
          <w:numId w:val="9"/>
        </w:numPr>
        <w:ind w:left="420" w:hanging="420"/>
      </w:pPr>
      <w:r w:rsidRPr="00560023">
        <w:t>Rural Scenes</w:t>
      </w:r>
    </w:p>
    <w:p w14:paraId="08AE1487" w14:textId="77777777" w:rsidR="00560023" w:rsidRPr="00560023" w:rsidRDefault="00560023" w:rsidP="00560023">
      <w:pPr>
        <w:pStyle w:val="3"/>
      </w:pPr>
      <w:r w:rsidRPr="00560023">
        <w:t>3.2.1. The Application of Rural Agricultural Production</w:t>
      </w:r>
    </w:p>
    <w:p w14:paraId="195623E9" w14:textId="77777777" w:rsidR="00560023" w:rsidRPr="00560023" w:rsidRDefault="00560023" w:rsidP="00560023">
      <w:pPr>
        <w:pStyle w:val="TTPParagraphothers"/>
      </w:pPr>
      <w:r w:rsidRPr="00560023">
        <w:t>In rural agricultural areas, photovoltaic, storage and charging system would be integrated so that solar power generation, energy storage and charging infrastructure together achieve this aim of overcoming intermittency and instability of agricultural electricity demand [7]. The study of the rural demand trends shows that the processes of agricultural production require a high level of power supply stability and continuity. This is especially problematic in isolated rural areas where there is less grid connection which demonstrate worse power supply deficit. Efficiency of the photovoltaic power generation and extending of the cycle life of the energy storage systems are some of the methods through which reduction of the technical cost can be achieved [8].</w:t>
      </w:r>
    </w:p>
    <w:p w14:paraId="18AC6336" w14:textId="77777777" w:rsidR="00560023" w:rsidRPr="00560023" w:rsidRDefault="00560023" w:rsidP="00560023">
      <w:pPr>
        <w:pStyle w:val="3"/>
      </w:pPr>
      <w:r w:rsidRPr="00560023">
        <w:t>3.2.2. The Application Effect of Rural Household Electricity Usage</w:t>
      </w:r>
    </w:p>
    <w:p w14:paraId="2866BF9F" w14:textId="77777777" w:rsidR="00560023" w:rsidRPr="00560023" w:rsidRDefault="00560023" w:rsidP="00560023">
      <w:pPr>
        <w:pStyle w:val="TTPParagraphothers"/>
      </w:pPr>
      <w:r w:rsidRPr="00560023">
        <w:t>The photovoltaic power generation and energy storage system has also been effective in solving the stability and reliability of household electricity power in the rural areas by integrating the photovoltaic power generation and energy storage technology [9]. An energy storage system is taken where energy storage devices used include lithium-ion battery or lead-carbon battery with capacity ranging commonly between 10 kWh to 50 kWh with capacity to store the excess electricity produced by photovoltaic throughout the day [5].</w:t>
      </w:r>
    </w:p>
    <w:p w14:paraId="08D208A9" w14:textId="1AC67D24" w:rsidR="00560023" w:rsidRPr="00560023" w:rsidRDefault="00560023" w:rsidP="00560023">
      <w:pPr>
        <w:pStyle w:val="Figure"/>
        <w:spacing w:line="240" w:lineRule="auto"/>
        <w:rPr>
          <w:b/>
          <w:sz w:val="24"/>
          <w:szCs w:val="24"/>
        </w:rPr>
      </w:pPr>
      <w:r w:rsidRPr="00560023">
        <w:rPr>
          <w:b/>
          <w:sz w:val="24"/>
          <w:szCs w:val="24"/>
        </w:rPr>
        <w:lastRenderedPageBreak/>
        <w:t>Table 1</w:t>
      </w:r>
      <w:r>
        <w:rPr>
          <w:b/>
          <w:sz w:val="24"/>
          <w:szCs w:val="24"/>
        </w:rPr>
        <w:t>.</w:t>
      </w:r>
      <w:r w:rsidRPr="00560023">
        <w:rPr>
          <w:b/>
          <w:sz w:val="24"/>
          <w:szCs w:val="24"/>
        </w:rPr>
        <w:t xml:space="preserve"> </w:t>
      </w:r>
      <w:r w:rsidRPr="00560023">
        <w:rPr>
          <w:bCs/>
          <w:sz w:val="24"/>
          <w:szCs w:val="24"/>
        </w:rPr>
        <w:t>Statistical Table of Application Effects of Rural Integrated System for Electricity Storage, Storage, and Charging</w:t>
      </w:r>
    </w:p>
    <w:tbl>
      <w:tblPr>
        <w:tblStyle w:val="Table"/>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农村生活用电光储充一体化系统应用效果统计表 {#tbl:table 3.2.2}"/>
      </w:tblPr>
      <w:tblGrid>
        <w:gridCol w:w="6097"/>
        <w:gridCol w:w="1910"/>
        <w:gridCol w:w="1622"/>
      </w:tblGrid>
      <w:tr w:rsidR="00560023" w:rsidRPr="00560023" w14:paraId="6A2B852E" w14:textId="77777777" w:rsidTr="00560023">
        <w:trPr>
          <w:cnfStyle w:val="100000000000" w:firstRow="1" w:lastRow="0" w:firstColumn="0" w:lastColumn="0" w:oddVBand="0" w:evenVBand="0" w:oddHBand="0" w:evenHBand="0" w:firstRowFirstColumn="0" w:firstRowLastColumn="0" w:lastRowFirstColumn="0" w:lastRowLastColumn="0"/>
          <w:tblHeader/>
          <w:jc w:val="center"/>
        </w:trPr>
        <w:tc>
          <w:tcPr>
            <w:tcW w:w="3166" w:type="pct"/>
            <w:tcBorders>
              <w:bottom w:val="none" w:sz="0" w:space="0" w:color="auto"/>
            </w:tcBorders>
            <w:hideMark/>
          </w:tcPr>
          <w:p w14:paraId="7CA30353" w14:textId="77777777" w:rsidR="00560023" w:rsidRPr="00560023" w:rsidRDefault="00560023" w:rsidP="00560023">
            <w:pPr>
              <w:rPr>
                <w:b w:val="0"/>
                <w:bCs/>
                <w:color w:val="000000"/>
                <w:sz w:val="24"/>
                <w:szCs w:val="24"/>
                <w:lang w:val="en-GB"/>
              </w:rPr>
            </w:pPr>
            <w:r w:rsidRPr="00560023">
              <w:rPr>
                <w:b w:val="0"/>
                <w:bCs/>
                <w:color w:val="000000"/>
                <w:sz w:val="24"/>
                <w:szCs w:val="24"/>
                <w:lang w:val="en-GB"/>
              </w:rPr>
              <w:t>marker</w:t>
            </w:r>
          </w:p>
        </w:tc>
        <w:tc>
          <w:tcPr>
            <w:tcW w:w="992" w:type="pct"/>
            <w:tcBorders>
              <w:bottom w:val="none" w:sz="0" w:space="0" w:color="auto"/>
            </w:tcBorders>
            <w:hideMark/>
          </w:tcPr>
          <w:p w14:paraId="14C36F61" w14:textId="77777777" w:rsidR="00560023" w:rsidRPr="00560023" w:rsidRDefault="00560023" w:rsidP="00560023">
            <w:pPr>
              <w:pStyle w:val="Compact"/>
              <w:spacing w:before="0" w:after="0" w:line="240" w:lineRule="auto"/>
              <w:rPr>
                <w:rFonts w:cs="Times New Roman"/>
                <w:b w:val="0"/>
                <w:bCs/>
                <w:color w:val="000000"/>
                <w:lang w:val="en-GB" w:eastAsia="en-US"/>
              </w:rPr>
            </w:pPr>
            <w:r w:rsidRPr="00560023">
              <w:rPr>
                <w:rFonts w:cs="Times New Roman"/>
                <w:b w:val="0"/>
                <w:bCs/>
                <w:color w:val="000000"/>
                <w:lang w:val="en-GB" w:eastAsia="en-US"/>
              </w:rPr>
              <w:t>unit</w:t>
            </w:r>
          </w:p>
        </w:tc>
        <w:tc>
          <w:tcPr>
            <w:tcW w:w="843" w:type="pct"/>
            <w:tcBorders>
              <w:bottom w:val="none" w:sz="0" w:space="0" w:color="auto"/>
            </w:tcBorders>
            <w:hideMark/>
          </w:tcPr>
          <w:p w14:paraId="2894A931" w14:textId="77777777" w:rsidR="00560023" w:rsidRPr="00560023" w:rsidRDefault="00560023" w:rsidP="00560023">
            <w:pPr>
              <w:pStyle w:val="Compact"/>
              <w:spacing w:before="0" w:after="0" w:line="240" w:lineRule="auto"/>
              <w:rPr>
                <w:rFonts w:cs="Times New Roman"/>
                <w:b w:val="0"/>
                <w:bCs/>
                <w:color w:val="000000"/>
                <w:lang w:val="en-GB" w:eastAsia="en-US"/>
              </w:rPr>
            </w:pPr>
            <w:r w:rsidRPr="00560023">
              <w:rPr>
                <w:rFonts w:cs="Times New Roman"/>
                <w:b w:val="0"/>
                <w:bCs/>
                <w:color w:val="000000"/>
                <w:lang w:val="en-GB" w:eastAsia="en-US"/>
              </w:rPr>
              <w:t>numeric value</w:t>
            </w:r>
          </w:p>
        </w:tc>
      </w:tr>
      <w:tr w:rsidR="00560023" w:rsidRPr="00560023" w14:paraId="55A2419D" w14:textId="77777777" w:rsidTr="00560023">
        <w:trPr>
          <w:jc w:val="center"/>
        </w:trPr>
        <w:tc>
          <w:tcPr>
            <w:tcW w:w="3166" w:type="pct"/>
            <w:hideMark/>
          </w:tcPr>
          <w:p w14:paraId="22A12163"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Capacity configuration range of the energy storage system</w:t>
            </w:r>
          </w:p>
        </w:tc>
        <w:tc>
          <w:tcPr>
            <w:tcW w:w="992" w:type="pct"/>
            <w:hideMark/>
          </w:tcPr>
          <w:p w14:paraId="1A8A871E"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kWh</w:t>
            </w:r>
          </w:p>
        </w:tc>
        <w:tc>
          <w:tcPr>
            <w:tcW w:w="843" w:type="pct"/>
            <w:hideMark/>
          </w:tcPr>
          <w:p w14:paraId="4F6E4D8F"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10-50</w:t>
            </w:r>
          </w:p>
        </w:tc>
      </w:tr>
      <w:tr w:rsidR="00560023" w:rsidRPr="00560023" w14:paraId="0905BAAD" w14:textId="77777777" w:rsidTr="00560023">
        <w:trPr>
          <w:jc w:val="center"/>
        </w:trPr>
        <w:tc>
          <w:tcPr>
            <w:tcW w:w="3166" w:type="pct"/>
            <w:hideMark/>
          </w:tcPr>
          <w:p w14:paraId="4CBBF5A2"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The duration of continuous power supply by energy storage</w:t>
            </w:r>
          </w:p>
        </w:tc>
        <w:tc>
          <w:tcPr>
            <w:tcW w:w="992" w:type="pct"/>
            <w:hideMark/>
          </w:tcPr>
          <w:p w14:paraId="61CB1A45"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Hour</w:t>
            </w:r>
          </w:p>
        </w:tc>
        <w:tc>
          <w:tcPr>
            <w:tcW w:w="843" w:type="pct"/>
            <w:hideMark/>
          </w:tcPr>
          <w:p w14:paraId="47BBC1C7"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4-8</w:t>
            </w:r>
          </w:p>
        </w:tc>
      </w:tr>
      <w:tr w:rsidR="00560023" w:rsidRPr="00560023" w14:paraId="37F7D33E" w14:textId="77777777" w:rsidTr="00560023">
        <w:trPr>
          <w:jc w:val="center"/>
        </w:trPr>
        <w:tc>
          <w:tcPr>
            <w:tcW w:w="3166" w:type="pct"/>
            <w:hideMark/>
          </w:tcPr>
          <w:p w14:paraId="3BD727FC"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The increase in the self-generated electricity rate</w:t>
            </w:r>
          </w:p>
        </w:tc>
        <w:tc>
          <w:tcPr>
            <w:tcW w:w="992" w:type="pct"/>
            <w:hideMark/>
          </w:tcPr>
          <w:p w14:paraId="4825BDAC"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w:t>
            </w:r>
          </w:p>
        </w:tc>
        <w:tc>
          <w:tcPr>
            <w:tcW w:w="843" w:type="pct"/>
            <w:hideMark/>
          </w:tcPr>
          <w:p w14:paraId="6AEA4221"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60-80</w:t>
            </w:r>
          </w:p>
        </w:tc>
      </w:tr>
      <w:tr w:rsidR="00560023" w:rsidRPr="00560023" w14:paraId="2FC4543C" w14:textId="77777777" w:rsidTr="00560023">
        <w:trPr>
          <w:jc w:val="center"/>
        </w:trPr>
        <w:tc>
          <w:tcPr>
            <w:tcW w:w="3166" w:type="pct"/>
            <w:hideMark/>
          </w:tcPr>
          <w:p w14:paraId="396FB0B0"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Voltage deviation control range</w:t>
            </w:r>
          </w:p>
        </w:tc>
        <w:tc>
          <w:tcPr>
            <w:tcW w:w="992" w:type="pct"/>
            <w:hideMark/>
          </w:tcPr>
          <w:p w14:paraId="0CDA2E80"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w:t>
            </w:r>
          </w:p>
        </w:tc>
        <w:tc>
          <w:tcPr>
            <w:tcW w:w="843" w:type="pct"/>
            <w:hideMark/>
          </w:tcPr>
          <w:p w14:paraId="2936A0D2"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±5</w:t>
            </w:r>
          </w:p>
        </w:tc>
      </w:tr>
      <w:tr w:rsidR="00560023" w:rsidRPr="00560023" w14:paraId="41911669" w14:textId="77777777" w:rsidTr="00560023">
        <w:trPr>
          <w:jc w:val="center"/>
        </w:trPr>
        <w:tc>
          <w:tcPr>
            <w:tcW w:w="3166" w:type="pct"/>
            <w:hideMark/>
          </w:tcPr>
          <w:p w14:paraId="19E04144"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Response time characteristics</w:t>
            </w:r>
          </w:p>
        </w:tc>
        <w:tc>
          <w:tcPr>
            <w:tcW w:w="992" w:type="pct"/>
            <w:hideMark/>
          </w:tcPr>
          <w:p w14:paraId="4B347B69"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millisecond class</w:t>
            </w:r>
          </w:p>
        </w:tc>
        <w:tc>
          <w:tcPr>
            <w:tcW w:w="843" w:type="pct"/>
            <w:hideMark/>
          </w:tcPr>
          <w:p w14:paraId="376F3D57" w14:textId="77777777" w:rsidR="00560023" w:rsidRPr="00560023" w:rsidRDefault="00560023" w:rsidP="00560023">
            <w:pPr>
              <w:pStyle w:val="Compact"/>
              <w:spacing w:before="0" w:after="0" w:line="240" w:lineRule="auto"/>
              <w:rPr>
                <w:rFonts w:cs="Times New Roman"/>
                <w:bCs/>
                <w:color w:val="000000"/>
                <w:lang w:val="en-IN"/>
              </w:rPr>
            </w:pPr>
            <w:r w:rsidRPr="00560023">
              <w:rPr>
                <w:rFonts w:cs="Times New Roman"/>
                <w:bCs/>
                <w:color w:val="000000"/>
                <w:lang w:val="en-IN"/>
              </w:rPr>
              <w:t>&lt;100</w:t>
            </w:r>
          </w:p>
        </w:tc>
      </w:tr>
    </w:tbl>
    <w:p w14:paraId="348A7FD7" w14:textId="77777777" w:rsidR="00560023" w:rsidRPr="00560023" w:rsidRDefault="00560023" w:rsidP="00560023">
      <w:pPr>
        <w:pStyle w:val="TTPParagraphothers"/>
      </w:pPr>
      <w:r w:rsidRPr="00560023">
        <w:t>Table 1 highlights the key performance indicators of integrated photovoltaic, storage, and charging system under rural dwellings electricity usage. This system can provide continuous power 4-8 hours at night or in the case of overcast and rainy weather, which increases the reliability of power supply significantly. The self-sufficiency level in electricity has also gone up to 60 to 80 percent, which is a testimony to a huge drop in the reliance on the traditional power grid. Technically speaking, the energy storage system has milliseconds mean response time, with a variation of voltage less than 5 percent of the nominal case and good response to fluctuations in voltage caused by sudden changes in load. These data are based on the real time monitoring of operations carried out and through intelligent energy management system to optimize on dispatch. The dynamic charging and discharging plans are also adjusted according to the consumption pattern of the users of the electricity. The time-shifting feature of the system enables the power production in the middle of the day when the output of photovoltaic power is nature’s strongest and this can be moved and used at the evening time with high demand hence actually leveling off the load profile.</w:t>
      </w:r>
    </w:p>
    <w:p w14:paraId="405734F2" w14:textId="77777777" w:rsidR="00560023" w:rsidRPr="00560023" w:rsidRDefault="00560023" w:rsidP="00560023">
      <w:pPr>
        <w:pStyle w:val="TTPParagraphothers"/>
      </w:pPr>
      <w:r w:rsidRPr="00560023">
        <w:t xml:space="preserve">The outcomes of these applications are evident on the practical importance of the combined photovoltaic, storage and charging system in country homes in situations of electricity. The system does not only improve the quality of power supply but also gives a technical basis to the </w:t>
      </w:r>
      <w:proofErr w:type="gramStart"/>
      <w:r w:rsidRPr="00560023">
        <w:t>large scale</w:t>
      </w:r>
      <w:proofErr w:type="gramEnd"/>
      <w:r w:rsidRPr="00560023">
        <w:t xml:space="preserve"> incorporation of the distributed energy resources in rural areas.</w:t>
      </w:r>
    </w:p>
    <w:p w14:paraId="6C96F995" w14:textId="77777777" w:rsidR="00560023" w:rsidRPr="00560023" w:rsidRDefault="00560023" w:rsidP="00560023">
      <w:pPr>
        <w:pStyle w:val="1"/>
        <w:numPr>
          <w:ilvl w:val="0"/>
          <w:numId w:val="9"/>
        </w:numPr>
        <w:tabs>
          <w:tab w:val="num" w:pos="561"/>
        </w:tabs>
        <w:ind w:left="420" w:hanging="420"/>
      </w:pPr>
      <w:r w:rsidRPr="00560023">
        <w:t>Analysis of Challenges and Optimization in the Development Process of Energy Storage Technology for Integrated Photovoltaic Storage and Charging Systems</w:t>
      </w:r>
    </w:p>
    <w:p w14:paraId="76F1C8E1" w14:textId="1DD663D8" w:rsidR="00560023" w:rsidRPr="00560023" w:rsidRDefault="00560023" w:rsidP="00560023">
      <w:pPr>
        <w:pStyle w:val="2"/>
        <w:numPr>
          <w:ilvl w:val="1"/>
          <w:numId w:val="9"/>
        </w:numPr>
        <w:ind w:left="420" w:hanging="420"/>
      </w:pPr>
      <w:r w:rsidRPr="00560023">
        <w:t>The Existing Gaps and Limitations within the Energy Storage Technology Development</w:t>
      </w:r>
    </w:p>
    <w:p w14:paraId="34B45467" w14:textId="77777777" w:rsidR="00560023" w:rsidRPr="00560023" w:rsidRDefault="00560023" w:rsidP="00560023">
      <w:pPr>
        <w:pStyle w:val="TTPParagraphothers"/>
      </w:pPr>
      <w:r w:rsidRPr="00560023">
        <w:t xml:space="preserve">The main weakness is the fact that the battery has constant safety problems, especially the threat of thermal runaway, which is increased when using the battery under high temperatures and high humidity. Also, the price of the energy storage systems with long-duration characteristics is rather high. In a photovoltaic system combined with a storage charge system, the energy density of the energy storage technology and the power density of the energy storage technology have a direct influence on the energy storage system as a whole [10]. Presently, the typical energy density of lithium-ion batteries is 150 to 300 </w:t>
      </w:r>
      <w:proofErr w:type="spellStart"/>
      <w:r w:rsidRPr="00560023">
        <w:t>Wh</w:t>
      </w:r>
      <w:proofErr w:type="spellEnd"/>
      <w:r w:rsidRPr="00560023">
        <w:t xml:space="preserve">/kg, compared to the low 30 to 50 </w:t>
      </w:r>
      <w:proofErr w:type="spellStart"/>
      <w:r w:rsidRPr="00560023">
        <w:t>Wh</w:t>
      </w:r>
      <w:proofErr w:type="spellEnd"/>
      <w:r w:rsidRPr="00560023">
        <w:t xml:space="preserve">/kg of lead-carbon batteries. Such a high divergence renders the high-energy-density storage solutions in cities where space is limited more preferable. With respect to performance in terms of power response Unlike the other types, supercapacitors have the capability of providing a </w:t>
      </w:r>
      <w:proofErr w:type="gramStart"/>
      <w:r w:rsidRPr="00560023">
        <w:t>high power</w:t>
      </w:r>
      <w:proofErr w:type="gramEnd"/>
      <w:r w:rsidRPr="00560023">
        <w:t xml:space="preserve"> density of up to 10 kW/kg, but a low energy density of 5-10 </w:t>
      </w:r>
      <w:proofErr w:type="spellStart"/>
      <w:r w:rsidRPr="00560023">
        <w:t>Wh</w:t>
      </w:r>
      <w:proofErr w:type="spellEnd"/>
      <w:r w:rsidRPr="00560023">
        <w:t>/kg. This limitation limits their use in applications where long-term energy storage with long lifespan is required.</w:t>
      </w:r>
    </w:p>
    <w:p w14:paraId="0516C638" w14:textId="792760D2" w:rsidR="00560023" w:rsidRPr="00560023" w:rsidRDefault="00560023" w:rsidP="00560023">
      <w:pPr>
        <w:pStyle w:val="2"/>
        <w:numPr>
          <w:ilvl w:val="1"/>
          <w:numId w:val="9"/>
        </w:numPr>
        <w:ind w:left="420" w:hanging="420"/>
      </w:pPr>
      <w:r w:rsidRPr="00560023">
        <w:t>Optimization Analysis for Current Challenges</w:t>
      </w:r>
    </w:p>
    <w:p w14:paraId="55BEFACE" w14:textId="77777777" w:rsidR="00560023" w:rsidRPr="00560023" w:rsidRDefault="00560023" w:rsidP="00560023">
      <w:pPr>
        <w:pStyle w:val="TTPParagraphothers"/>
      </w:pPr>
      <w:r w:rsidRPr="00560023">
        <w:t xml:space="preserve">The process of extending the life cycle of energy storage systems at the level of technical optimization has become one of the critical points of breakthrough [11]. To begin with, technological progress can enhance the energy density of lithium-ion batteries to over 300 </w:t>
      </w:r>
      <w:proofErr w:type="spellStart"/>
      <w:r w:rsidRPr="00560023">
        <w:t>Wh</w:t>
      </w:r>
      <w:proofErr w:type="spellEnd"/>
      <w:r w:rsidRPr="00560023">
        <w:t xml:space="preserve">/kg by developing new kinds of electrodes, such as silicon-carbon composite anodes (silicon content 15-17%) and high-nickel cathodes, such as NCM811. At the same time, replacing traditional organic electrolytes with </w:t>
      </w:r>
      <w:r w:rsidRPr="00560023">
        <w:lastRenderedPageBreak/>
        <w:t>solid-state electrolytes may raise the limit of thermal runaway by 150 C 300 C [12]. Second, scenario adaptation optimization involves development of digital models using special computer software to measure the special needs of each application situation. Through big data analytics, this technique is accurate in the profiling of loads and environmental constraints, which makes it possible to design dynamic adaptive decision-supporting systems. Lastly, on industrial support, it is essential to improve the technical specifications of integrated photovoltaic, energy storage and charging systems, push towards the standardization of uniform interfaces of energy storage devices, broaden financial incentives of long-duration and hybrid storage programs, and, thereby, spur the implementation of cross-scenario demonstration programs. All these technical optimization provisions are the basis in ensuring that the photovoltaic storage charging system operates efficiently under different application conditions.</w:t>
      </w:r>
    </w:p>
    <w:p w14:paraId="1AA88DF9" w14:textId="77777777" w:rsidR="00560023" w:rsidRPr="00560023" w:rsidRDefault="00560023" w:rsidP="00560023">
      <w:pPr>
        <w:pStyle w:val="1"/>
        <w:numPr>
          <w:ilvl w:val="0"/>
          <w:numId w:val="9"/>
        </w:numPr>
        <w:tabs>
          <w:tab w:val="num" w:pos="561"/>
        </w:tabs>
        <w:ind w:left="420" w:hanging="420"/>
      </w:pPr>
      <w:r w:rsidRPr="00560023">
        <w:t>Conclusion</w:t>
      </w:r>
    </w:p>
    <w:p w14:paraId="4F5B5AD4" w14:textId="77777777" w:rsidR="00560023" w:rsidRPr="00560023" w:rsidRDefault="00560023" w:rsidP="00560023">
      <w:pPr>
        <w:pStyle w:val="TTPParagraphothers"/>
      </w:pPr>
      <w:r w:rsidRPr="00560023">
        <w:rPr>
          <w:lang w:val="en-IN"/>
        </w:rPr>
        <w:t>T</w:t>
      </w:r>
      <w:r w:rsidRPr="00560023">
        <w:t>his paper is an original method of analysis of scenarios multi-dimensionally, distinguishing the contexts of application of integrated photovoltaic, energy storage, and charging systems into urban and rural spheres. Regarding different contexts each one of them is characterized by peculiarities, and specific strategies of energy storage technology design are elaborated. In the case of urban residential, a new approach is presented that involves combining a distributed energy storage solution with intelligent control of the electricity meters which allow arbitrage of price peaks and valleys as well as emergency supply of electricity power. The first application of a photovoltaic energy storage device is coupled with intelligent irrigation equipment used in rural areas of agricultural production. This solution can be used to address the problem of voltage fluctuations that is normally experienced by agricultural machineries in remote areas by using the energy storage unit to stabilize the voltage output. On the technical front, the study has not only transgressed the single technology path but has also suggested a hybrid energy storage proposition of using lithium-ion batteries and supercapacitors. It has been experimentally confirmed that this solution was able to raise the cycle life of the system to exceed 8,000 times and the efficacy loss to within 5%. Moreover, the photovoltaic energy storage and charging system had a new model of economic evaluation, and the dynamic investment payback period became one of the primary performance indicators. Empirical findings showed that the payback in the case of the commercial area was possible in 3.8 years. These innovations not only fill in the research gaps that are currently evident with reference to application in scenario situations but also provide theoretical as well as practical solutions to the standardized process of integrated photovoltaic, energy store together with charging systems development.</w:t>
      </w:r>
    </w:p>
    <w:p w14:paraId="7EB85AE4" w14:textId="77777777" w:rsidR="00560023" w:rsidRPr="00560023" w:rsidRDefault="00560023" w:rsidP="00560023">
      <w:pPr>
        <w:pStyle w:val="TTPParagraphothers"/>
      </w:pPr>
      <w:r w:rsidRPr="00560023">
        <w:t>In the next generation of photovoltaic and energy storage and charge development, progress will be in not only producing materials of higher efficiency than the existing ones but also integrating AI-based intelligent technologies to allow all the components of the system to communicate seamlessly and, therefore, enhance the overall system efficiency. Technology will move beyond pure efficiency and profitability to maximize economic benefits and minimize the impact on the environment, and, thus, moving technological progress towards a higher level of ecological sustainability. The spheres of application of the integrated photovoltaic-storage-charging system have become significantly wider in the context of different industries and have gone far beyond the key applications of the fundamental use of electricity consumption.</w:t>
      </w:r>
    </w:p>
    <w:p w14:paraId="0183E1E8" w14:textId="77777777" w:rsidR="00560023" w:rsidRPr="00560023" w:rsidRDefault="00560023" w:rsidP="00560023">
      <w:pPr>
        <w:pStyle w:val="1"/>
      </w:pPr>
      <w:r w:rsidRPr="00560023">
        <w:t>References</w:t>
      </w:r>
    </w:p>
    <w:p w14:paraId="3B7E252C"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Li, X., Zhang, Z., Wang, S., et al. (2023). Research on key technologies of integrated photovoltaic, energy storage, and charging system at park level. Energy and Energy Conservation, (12), 46-48.</w:t>
      </w:r>
    </w:p>
    <w:p w14:paraId="7164E30C"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Xiao, L. (2023). Design of integrated photovoltaic storage and charging system in thermal power plants. Energy Conservation and Environmental Protection, (02), 89-90.</w:t>
      </w:r>
    </w:p>
    <w:p w14:paraId="46673566" w14:textId="751B8893"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Chen, H., Zhang, W., Shi, L., et al. (2020). Research on the development and application of user-side photovoltaic storage systems at home and abroad. Power Generation Technology, 41</w:t>
      </w:r>
      <w:r w:rsidR="00FA3239">
        <w:rPr>
          <w:sz w:val="22"/>
          <w:szCs w:val="24"/>
        </w:rPr>
        <w:t xml:space="preserve"> </w:t>
      </w:r>
      <w:r w:rsidRPr="00560023">
        <w:rPr>
          <w:sz w:val="22"/>
          <w:szCs w:val="24"/>
        </w:rPr>
        <w:t>(02), 110-117.</w:t>
      </w:r>
    </w:p>
    <w:p w14:paraId="00787595" w14:textId="3C53736D"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lastRenderedPageBreak/>
        <w:t>Zhang, Y., Li, Y., Zhang, Z., et al. (2024). Development status and future trends of integrated photovoltaic storage and charging technology. New Energy Technology, 5</w:t>
      </w:r>
      <w:r w:rsidR="00FA3239">
        <w:rPr>
          <w:sz w:val="22"/>
          <w:szCs w:val="24"/>
        </w:rPr>
        <w:t xml:space="preserve"> </w:t>
      </w:r>
      <w:r w:rsidRPr="00560023">
        <w:rPr>
          <w:sz w:val="22"/>
          <w:szCs w:val="24"/>
        </w:rPr>
        <w:t>(05), 43-48.</w:t>
      </w:r>
    </w:p>
    <w:p w14:paraId="28437B58" w14:textId="687FF888"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Zhang, Y., Niu, Z., &amp; Li, D. (2025). Application and economic analysis of integrated photovoltaic storage and charging technology in urban charging stations. Electric Power and Energy, 46</w:t>
      </w:r>
      <w:r w:rsidR="00FA3239">
        <w:rPr>
          <w:sz w:val="22"/>
          <w:szCs w:val="24"/>
        </w:rPr>
        <w:t xml:space="preserve"> </w:t>
      </w:r>
      <w:r w:rsidRPr="00560023">
        <w:rPr>
          <w:sz w:val="22"/>
          <w:szCs w:val="24"/>
        </w:rPr>
        <w:t>(03), 303-306.</w:t>
      </w:r>
    </w:p>
    <w:p w14:paraId="3FDFAADF" w14:textId="106E74BE"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Li, J., Xu, L., &amp; Ma, L. (2022). Research on capacity optimization configuration method of integrated photovoltaic storage and charging system. Electrical Application, 41</w:t>
      </w:r>
      <w:r w:rsidR="00FA3239">
        <w:rPr>
          <w:sz w:val="22"/>
          <w:szCs w:val="24"/>
        </w:rPr>
        <w:t xml:space="preserve"> </w:t>
      </w:r>
      <w:r w:rsidRPr="00560023">
        <w:rPr>
          <w:sz w:val="22"/>
          <w:szCs w:val="24"/>
        </w:rPr>
        <w:t>(09), 71-77.</w:t>
      </w:r>
    </w:p>
    <w:p w14:paraId="02AB126E"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Jiang, T. (2020). Research on multi-objective optimization operation of integrated photovoltaic storage and charging system based on demand response (Master’s thesis). Zhengzhou University.</w:t>
      </w:r>
    </w:p>
    <w:p w14:paraId="77EEC6D9"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Zhao, J., Qi, Z., Zhu, Y., et al. (2025). Analysis of the promotion and application of integrated photovoltaic storage and charging model in rural areas. Electrical Times, (08), 32-35.</w:t>
      </w:r>
    </w:p>
    <w:p w14:paraId="1E4F5837"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Chen, F., Feng, W., Hu, M., et al. (2025). Application of integrated photovoltaic storage and charging system in outdoor parking lots. Installation, (03), 62-64.</w:t>
      </w:r>
    </w:p>
    <w:p w14:paraId="64F7F73E"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Yan, C. (2025). Research on the mechanism and practical path of enhancing the absorption capacity of new energy by storage technology innovation. China Strategic Emerging Industry, (30), 68-70.</w:t>
      </w:r>
    </w:p>
    <w:p w14:paraId="17D4E762" w14:textId="77777777" w:rsidR="00560023" w:rsidRPr="00560023" w:rsidRDefault="00560023" w:rsidP="00560023">
      <w:pPr>
        <w:pStyle w:val="Reference"/>
        <w:numPr>
          <w:ilvl w:val="0"/>
          <w:numId w:val="2"/>
        </w:numPr>
        <w:tabs>
          <w:tab w:val="left" w:pos="426"/>
        </w:tabs>
        <w:spacing w:after="60"/>
        <w:rPr>
          <w:sz w:val="22"/>
          <w:szCs w:val="24"/>
        </w:rPr>
      </w:pPr>
      <w:r w:rsidRPr="00560023">
        <w:rPr>
          <w:sz w:val="22"/>
          <w:szCs w:val="24"/>
        </w:rPr>
        <w:t>Cai, W., Li, Y., Li, J., et al. (2025). Analysis of the application of storage technology in power grid dispatching. Engineering Construction and Design, (20), 38-40.</w:t>
      </w:r>
    </w:p>
    <w:p w14:paraId="16DC6C68" w14:textId="5DBD569E" w:rsidR="005E70BE" w:rsidRPr="00560023" w:rsidRDefault="00560023" w:rsidP="00560023">
      <w:pPr>
        <w:pStyle w:val="Reference"/>
        <w:numPr>
          <w:ilvl w:val="0"/>
          <w:numId w:val="2"/>
        </w:numPr>
        <w:tabs>
          <w:tab w:val="left" w:pos="426"/>
        </w:tabs>
        <w:spacing w:after="60"/>
        <w:rPr>
          <w:sz w:val="22"/>
          <w:szCs w:val="24"/>
        </w:rPr>
      </w:pPr>
      <w:r w:rsidRPr="00560023">
        <w:rPr>
          <w:sz w:val="22"/>
          <w:szCs w:val="24"/>
        </w:rPr>
        <w:t>Wang, H. (2025). Innovation and integration of storage technology. China Petroleum &amp; Chemical Industry, (23), 30-32.</w:t>
      </w:r>
    </w:p>
    <w:sectPr w:rsidR="005E70BE" w:rsidRPr="00560023" w:rsidSect="00701B0D">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851" w:left="1134" w:header="850" w:footer="425" w:gutter="0"/>
      <w:pgNumType w:start="1"/>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0F1F" w14:textId="77777777" w:rsidR="00D06194" w:rsidRDefault="00D06194" w:rsidP="0007556F">
      <w:r>
        <w:separator/>
      </w:r>
    </w:p>
  </w:endnote>
  <w:endnote w:type="continuationSeparator" w:id="0">
    <w:p w14:paraId="4522196A" w14:textId="77777777" w:rsidR="00D06194" w:rsidRDefault="00D06194" w:rsidP="000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7583" w14:textId="77777777" w:rsidR="00D629F3" w:rsidRDefault="00D629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617587"/>
      <w:docPartObj>
        <w:docPartGallery w:val="Page Numbers (Bottom of Page)"/>
        <w:docPartUnique/>
      </w:docPartObj>
    </w:sdtPr>
    <w:sdtContent>
      <w:p w14:paraId="6E4FB629" w14:textId="745878A9" w:rsidR="00327641" w:rsidRPr="00327641" w:rsidRDefault="00327641" w:rsidP="00327641">
        <w:pPr>
          <w:pStyle w:val="a5"/>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EDEA" w14:textId="77777777" w:rsidR="00D629F3" w:rsidRDefault="00D62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30B1" w14:textId="77777777" w:rsidR="00D06194" w:rsidRDefault="00D06194" w:rsidP="0007556F">
      <w:r>
        <w:separator/>
      </w:r>
    </w:p>
  </w:footnote>
  <w:footnote w:type="continuationSeparator" w:id="0">
    <w:p w14:paraId="470CEF28" w14:textId="77777777" w:rsidR="00D06194" w:rsidRDefault="00D06194" w:rsidP="0007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7440" w14:textId="77777777" w:rsidR="003866B8" w:rsidRDefault="003866B8">
    <w:pPr>
      <w:pStyle w:val="a3"/>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C242" w14:textId="77777777" w:rsidR="003866B8" w:rsidRPr="00D629F3" w:rsidRDefault="003866B8" w:rsidP="00D629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CA01" w14:textId="77777777" w:rsidR="00D629F3" w:rsidRDefault="00D629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82E"/>
    <w:multiLevelType w:val="hybridMultilevel"/>
    <w:tmpl w:val="A3EAEFD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5533CC"/>
    <w:multiLevelType w:val="hybridMultilevel"/>
    <w:tmpl w:val="3A4E23A4"/>
    <w:lvl w:ilvl="0" w:tplc="8AFC88A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0640653"/>
    <w:multiLevelType w:val="hybridMultilevel"/>
    <w:tmpl w:val="8684E1CA"/>
    <w:lvl w:ilvl="0" w:tplc="387E8E42">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D31BD4"/>
    <w:multiLevelType w:val="hybridMultilevel"/>
    <w:tmpl w:val="BE30C858"/>
    <w:lvl w:ilvl="0" w:tplc="399EB1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2A3364"/>
    <w:multiLevelType w:val="multilevel"/>
    <w:tmpl w:val="AFC0F824"/>
    <w:lvl w:ilvl="0">
      <w:start w:val="1"/>
      <w:numFmt w:val="decimal"/>
      <w:lvlText w:val="%1."/>
      <w:lvlJc w:val="left"/>
      <w:pPr>
        <w:ind w:left="420" w:hanging="42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4CFD3A7D"/>
    <w:multiLevelType w:val="hybridMultilevel"/>
    <w:tmpl w:val="1A96362E"/>
    <w:lvl w:ilvl="0" w:tplc="D0B0865A">
      <w:start w:val="1"/>
      <w:numFmt w:val="decimal"/>
      <w:pStyle w:val="References"/>
      <w:lvlText w:val="[%1]"/>
      <w:lvlJc w:val="left"/>
      <w:pPr>
        <w:tabs>
          <w:tab w:val="num" w:pos="454"/>
        </w:tabs>
        <w:ind w:left="454" w:hanging="454"/>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4F699A"/>
    <w:multiLevelType w:val="hybridMultilevel"/>
    <w:tmpl w:val="F2880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CA544A"/>
    <w:multiLevelType w:val="singleLevel"/>
    <w:tmpl w:val="1C6E12FA"/>
    <w:lvl w:ilvl="0">
      <w:start w:val="1"/>
      <w:numFmt w:val="decimal"/>
      <w:pStyle w:val="references0"/>
      <w:suff w:val="space"/>
      <w:lvlText w:val="[%1]"/>
      <w:lvlJc w:val="left"/>
      <w:pPr>
        <w:ind w:left="360" w:hanging="360"/>
      </w:pPr>
      <w:rPr>
        <w:rFonts w:ascii="Times New Roman" w:hAnsi="Times New Roman" w:cs="Times New Roman" w:hint="default"/>
        <w:b w:val="0"/>
        <w:bCs w:val="0"/>
        <w:i w:val="0"/>
        <w:iCs w:val="0"/>
        <w:sz w:val="24"/>
        <w:szCs w:val="16"/>
      </w:rPr>
    </w:lvl>
  </w:abstractNum>
  <w:abstractNum w:abstractNumId="8" w15:restartNumberingAfterBreak="0">
    <w:nsid w:val="5B1862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5DFD06AB"/>
    <w:multiLevelType w:val="multilevel"/>
    <w:tmpl w:val="E18081C8"/>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EA97F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23841486">
    <w:abstractNumId w:val="4"/>
  </w:num>
  <w:num w:numId="2" w16cid:durableId="1254239205">
    <w:abstractNumId w:val="3"/>
  </w:num>
  <w:num w:numId="3" w16cid:durableId="1381977805">
    <w:abstractNumId w:val="9"/>
  </w:num>
  <w:num w:numId="4" w16cid:durableId="418605089">
    <w:abstractNumId w:val="6"/>
  </w:num>
  <w:num w:numId="5" w16cid:durableId="1239634812">
    <w:abstractNumId w:val="7"/>
  </w:num>
  <w:num w:numId="6" w16cid:durableId="1095786664">
    <w:abstractNumId w:val="5"/>
  </w:num>
  <w:num w:numId="7" w16cid:durableId="1217813246">
    <w:abstractNumId w:val="2"/>
  </w:num>
  <w:num w:numId="8" w16cid:durableId="1235819025">
    <w:abstractNumId w:val="10"/>
  </w:num>
  <w:num w:numId="9" w16cid:durableId="64186206">
    <w:abstractNumId w:val="8"/>
  </w:num>
  <w:num w:numId="10" w16cid:durableId="1086806097">
    <w:abstractNumId w:val="0"/>
  </w:num>
  <w:num w:numId="11" w16cid:durableId="37011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D4"/>
    <w:rsid w:val="0000598A"/>
    <w:rsid w:val="00012307"/>
    <w:rsid w:val="00020992"/>
    <w:rsid w:val="000265FE"/>
    <w:rsid w:val="0003084B"/>
    <w:rsid w:val="0003530B"/>
    <w:rsid w:val="000518B8"/>
    <w:rsid w:val="000522C1"/>
    <w:rsid w:val="00052629"/>
    <w:rsid w:val="00067F1A"/>
    <w:rsid w:val="0007556F"/>
    <w:rsid w:val="00077A04"/>
    <w:rsid w:val="00080AF5"/>
    <w:rsid w:val="00082B05"/>
    <w:rsid w:val="00084D38"/>
    <w:rsid w:val="00086928"/>
    <w:rsid w:val="00090D26"/>
    <w:rsid w:val="00091B94"/>
    <w:rsid w:val="0009479A"/>
    <w:rsid w:val="000970DF"/>
    <w:rsid w:val="000971D2"/>
    <w:rsid w:val="000A0A2D"/>
    <w:rsid w:val="000A1F29"/>
    <w:rsid w:val="000A7AB8"/>
    <w:rsid w:val="000B0442"/>
    <w:rsid w:val="000B52C9"/>
    <w:rsid w:val="000C19BF"/>
    <w:rsid w:val="000C5494"/>
    <w:rsid w:val="000E2AF9"/>
    <w:rsid w:val="000E63FC"/>
    <w:rsid w:val="000F0178"/>
    <w:rsid w:val="000F366E"/>
    <w:rsid w:val="000F4972"/>
    <w:rsid w:val="000F6624"/>
    <w:rsid w:val="00104305"/>
    <w:rsid w:val="00115233"/>
    <w:rsid w:val="00121D2E"/>
    <w:rsid w:val="0012268A"/>
    <w:rsid w:val="001234F5"/>
    <w:rsid w:val="00133B42"/>
    <w:rsid w:val="00142425"/>
    <w:rsid w:val="001449C9"/>
    <w:rsid w:val="00152DD0"/>
    <w:rsid w:val="00153AF8"/>
    <w:rsid w:val="001659E0"/>
    <w:rsid w:val="00170F0D"/>
    <w:rsid w:val="00177BCF"/>
    <w:rsid w:val="001816E3"/>
    <w:rsid w:val="001A2B14"/>
    <w:rsid w:val="001A4C1A"/>
    <w:rsid w:val="001A5569"/>
    <w:rsid w:val="001A7A2A"/>
    <w:rsid w:val="001B66F3"/>
    <w:rsid w:val="001C3426"/>
    <w:rsid w:val="001C6D59"/>
    <w:rsid w:val="001D47A6"/>
    <w:rsid w:val="001E41C8"/>
    <w:rsid w:val="001F72AB"/>
    <w:rsid w:val="00206278"/>
    <w:rsid w:val="00211DE3"/>
    <w:rsid w:val="00212F80"/>
    <w:rsid w:val="00224DCD"/>
    <w:rsid w:val="0022742C"/>
    <w:rsid w:val="00232A04"/>
    <w:rsid w:val="0024287D"/>
    <w:rsid w:val="002452D2"/>
    <w:rsid w:val="0024644D"/>
    <w:rsid w:val="002465A8"/>
    <w:rsid w:val="00251E28"/>
    <w:rsid w:val="002521EC"/>
    <w:rsid w:val="002560DD"/>
    <w:rsid w:val="002574BD"/>
    <w:rsid w:val="002579B6"/>
    <w:rsid w:val="002656FA"/>
    <w:rsid w:val="002658E3"/>
    <w:rsid w:val="00277CA6"/>
    <w:rsid w:val="00281A6F"/>
    <w:rsid w:val="0029625D"/>
    <w:rsid w:val="002A21B3"/>
    <w:rsid w:val="002A234C"/>
    <w:rsid w:val="002A3F5A"/>
    <w:rsid w:val="002A7E93"/>
    <w:rsid w:val="002B1FF3"/>
    <w:rsid w:val="002B4241"/>
    <w:rsid w:val="002C75A4"/>
    <w:rsid w:val="002C76D7"/>
    <w:rsid w:val="002D0B50"/>
    <w:rsid w:val="002D61B2"/>
    <w:rsid w:val="002E1075"/>
    <w:rsid w:val="002E240A"/>
    <w:rsid w:val="002E6D35"/>
    <w:rsid w:val="002F0A76"/>
    <w:rsid w:val="002F2DEF"/>
    <w:rsid w:val="002F324C"/>
    <w:rsid w:val="00302921"/>
    <w:rsid w:val="00302EBB"/>
    <w:rsid w:val="00321883"/>
    <w:rsid w:val="003228DD"/>
    <w:rsid w:val="00322D22"/>
    <w:rsid w:val="00325CA5"/>
    <w:rsid w:val="00327641"/>
    <w:rsid w:val="003403A3"/>
    <w:rsid w:val="00344774"/>
    <w:rsid w:val="00346895"/>
    <w:rsid w:val="003469F6"/>
    <w:rsid w:val="00353142"/>
    <w:rsid w:val="00357C37"/>
    <w:rsid w:val="00363BD3"/>
    <w:rsid w:val="00363D6D"/>
    <w:rsid w:val="00381FE4"/>
    <w:rsid w:val="00384308"/>
    <w:rsid w:val="003866B8"/>
    <w:rsid w:val="00392FC4"/>
    <w:rsid w:val="003942ED"/>
    <w:rsid w:val="00394C3D"/>
    <w:rsid w:val="00395672"/>
    <w:rsid w:val="003A0590"/>
    <w:rsid w:val="003B2073"/>
    <w:rsid w:val="003B3924"/>
    <w:rsid w:val="003B4C69"/>
    <w:rsid w:val="003C0115"/>
    <w:rsid w:val="003C7F5D"/>
    <w:rsid w:val="003D5D81"/>
    <w:rsid w:val="003E6F86"/>
    <w:rsid w:val="003E73C0"/>
    <w:rsid w:val="003F1E0F"/>
    <w:rsid w:val="003F4B36"/>
    <w:rsid w:val="004024F2"/>
    <w:rsid w:val="004145E1"/>
    <w:rsid w:val="00425BBC"/>
    <w:rsid w:val="004275C9"/>
    <w:rsid w:val="004324B6"/>
    <w:rsid w:val="00432D3E"/>
    <w:rsid w:val="004343D4"/>
    <w:rsid w:val="00447730"/>
    <w:rsid w:val="00455CA3"/>
    <w:rsid w:val="00455CDF"/>
    <w:rsid w:val="0045684B"/>
    <w:rsid w:val="004617CD"/>
    <w:rsid w:val="0046536B"/>
    <w:rsid w:val="00465C5A"/>
    <w:rsid w:val="00465E5B"/>
    <w:rsid w:val="004666A6"/>
    <w:rsid w:val="00470982"/>
    <w:rsid w:val="00472557"/>
    <w:rsid w:val="00477B6D"/>
    <w:rsid w:val="004836B2"/>
    <w:rsid w:val="00493A42"/>
    <w:rsid w:val="004A1049"/>
    <w:rsid w:val="004A2AE6"/>
    <w:rsid w:val="004A2D22"/>
    <w:rsid w:val="004A4E38"/>
    <w:rsid w:val="004A5C44"/>
    <w:rsid w:val="004A6E1E"/>
    <w:rsid w:val="004B6555"/>
    <w:rsid w:val="004C514C"/>
    <w:rsid w:val="004C5CBD"/>
    <w:rsid w:val="004D12A3"/>
    <w:rsid w:val="004D3916"/>
    <w:rsid w:val="004D76C6"/>
    <w:rsid w:val="004E0A14"/>
    <w:rsid w:val="004E27FD"/>
    <w:rsid w:val="004F61C9"/>
    <w:rsid w:val="00505ECC"/>
    <w:rsid w:val="005129DA"/>
    <w:rsid w:val="00514EDB"/>
    <w:rsid w:val="00515E4B"/>
    <w:rsid w:val="0052068C"/>
    <w:rsid w:val="0052074A"/>
    <w:rsid w:val="00524621"/>
    <w:rsid w:val="00527C23"/>
    <w:rsid w:val="00527DE3"/>
    <w:rsid w:val="005306BE"/>
    <w:rsid w:val="00532963"/>
    <w:rsid w:val="0054632B"/>
    <w:rsid w:val="00550A0D"/>
    <w:rsid w:val="00550D55"/>
    <w:rsid w:val="00555225"/>
    <w:rsid w:val="00560023"/>
    <w:rsid w:val="005620CC"/>
    <w:rsid w:val="005734F2"/>
    <w:rsid w:val="00574CF6"/>
    <w:rsid w:val="00574FA0"/>
    <w:rsid w:val="0057749F"/>
    <w:rsid w:val="00577DB4"/>
    <w:rsid w:val="0058014D"/>
    <w:rsid w:val="00580F68"/>
    <w:rsid w:val="005A51F7"/>
    <w:rsid w:val="005B161C"/>
    <w:rsid w:val="005B5570"/>
    <w:rsid w:val="005B5F01"/>
    <w:rsid w:val="005C6167"/>
    <w:rsid w:val="005C77AE"/>
    <w:rsid w:val="005E70BE"/>
    <w:rsid w:val="005F11F7"/>
    <w:rsid w:val="005F1291"/>
    <w:rsid w:val="005F71FA"/>
    <w:rsid w:val="00603E02"/>
    <w:rsid w:val="00606CE4"/>
    <w:rsid w:val="006112B2"/>
    <w:rsid w:val="006143A2"/>
    <w:rsid w:val="0061488C"/>
    <w:rsid w:val="00615794"/>
    <w:rsid w:val="00620823"/>
    <w:rsid w:val="00624D6A"/>
    <w:rsid w:val="00626107"/>
    <w:rsid w:val="006308BA"/>
    <w:rsid w:val="00631E0C"/>
    <w:rsid w:val="00631EDB"/>
    <w:rsid w:val="006322E2"/>
    <w:rsid w:val="00633B39"/>
    <w:rsid w:val="00633D85"/>
    <w:rsid w:val="00655C1A"/>
    <w:rsid w:val="006563DA"/>
    <w:rsid w:val="00665B2A"/>
    <w:rsid w:val="00670B50"/>
    <w:rsid w:val="00674970"/>
    <w:rsid w:val="0067574C"/>
    <w:rsid w:val="006846D7"/>
    <w:rsid w:val="00694489"/>
    <w:rsid w:val="00694DD9"/>
    <w:rsid w:val="006A26DD"/>
    <w:rsid w:val="006B0544"/>
    <w:rsid w:val="006B1514"/>
    <w:rsid w:val="006B1A82"/>
    <w:rsid w:val="006C1F0E"/>
    <w:rsid w:val="006C5029"/>
    <w:rsid w:val="006D2D6E"/>
    <w:rsid w:val="006D6A7A"/>
    <w:rsid w:val="006E76A4"/>
    <w:rsid w:val="006F0CD5"/>
    <w:rsid w:val="006F3118"/>
    <w:rsid w:val="006F49AF"/>
    <w:rsid w:val="00701B0D"/>
    <w:rsid w:val="0070354C"/>
    <w:rsid w:val="007100AA"/>
    <w:rsid w:val="00715578"/>
    <w:rsid w:val="00715E4D"/>
    <w:rsid w:val="007259A6"/>
    <w:rsid w:val="00726ED7"/>
    <w:rsid w:val="00727DC4"/>
    <w:rsid w:val="00727DFE"/>
    <w:rsid w:val="0074273F"/>
    <w:rsid w:val="00742CB2"/>
    <w:rsid w:val="00744298"/>
    <w:rsid w:val="00750296"/>
    <w:rsid w:val="00750798"/>
    <w:rsid w:val="00756281"/>
    <w:rsid w:val="007608B6"/>
    <w:rsid w:val="007648C7"/>
    <w:rsid w:val="00780DE5"/>
    <w:rsid w:val="00786CEA"/>
    <w:rsid w:val="00787AA8"/>
    <w:rsid w:val="00791EE3"/>
    <w:rsid w:val="007A30C8"/>
    <w:rsid w:val="007B01CC"/>
    <w:rsid w:val="007B42C6"/>
    <w:rsid w:val="007C2576"/>
    <w:rsid w:val="007D4345"/>
    <w:rsid w:val="007D66D7"/>
    <w:rsid w:val="007E1429"/>
    <w:rsid w:val="007E3D9C"/>
    <w:rsid w:val="007E3DDE"/>
    <w:rsid w:val="007E4196"/>
    <w:rsid w:val="007E43CF"/>
    <w:rsid w:val="007E7140"/>
    <w:rsid w:val="007F4FF4"/>
    <w:rsid w:val="008134A3"/>
    <w:rsid w:val="00816F18"/>
    <w:rsid w:val="00854E83"/>
    <w:rsid w:val="00854FE5"/>
    <w:rsid w:val="00855AA5"/>
    <w:rsid w:val="00863C6D"/>
    <w:rsid w:val="00870EC0"/>
    <w:rsid w:val="008814CF"/>
    <w:rsid w:val="00893126"/>
    <w:rsid w:val="008A3402"/>
    <w:rsid w:val="008B39F7"/>
    <w:rsid w:val="008B750B"/>
    <w:rsid w:val="008D6BB1"/>
    <w:rsid w:val="008D783F"/>
    <w:rsid w:val="008F0D35"/>
    <w:rsid w:val="008F1C1C"/>
    <w:rsid w:val="008F66D0"/>
    <w:rsid w:val="00903D22"/>
    <w:rsid w:val="00910F8E"/>
    <w:rsid w:val="00913B56"/>
    <w:rsid w:val="00916596"/>
    <w:rsid w:val="0092270E"/>
    <w:rsid w:val="00924271"/>
    <w:rsid w:val="0093064F"/>
    <w:rsid w:val="0094235E"/>
    <w:rsid w:val="00943BE7"/>
    <w:rsid w:val="00955046"/>
    <w:rsid w:val="00964F5E"/>
    <w:rsid w:val="00965306"/>
    <w:rsid w:val="00973190"/>
    <w:rsid w:val="00977F3C"/>
    <w:rsid w:val="00980C8E"/>
    <w:rsid w:val="0098125E"/>
    <w:rsid w:val="00981CDE"/>
    <w:rsid w:val="00990151"/>
    <w:rsid w:val="00991FDB"/>
    <w:rsid w:val="00993334"/>
    <w:rsid w:val="00996E85"/>
    <w:rsid w:val="009A7ED3"/>
    <w:rsid w:val="009B093E"/>
    <w:rsid w:val="009B3EE6"/>
    <w:rsid w:val="009C193F"/>
    <w:rsid w:val="009C4F50"/>
    <w:rsid w:val="009D1C32"/>
    <w:rsid w:val="009E458E"/>
    <w:rsid w:val="009F0E9A"/>
    <w:rsid w:val="009F4101"/>
    <w:rsid w:val="009F5192"/>
    <w:rsid w:val="009F55DE"/>
    <w:rsid w:val="009F5DAC"/>
    <w:rsid w:val="00A068DC"/>
    <w:rsid w:val="00A06953"/>
    <w:rsid w:val="00A06B4C"/>
    <w:rsid w:val="00A07EA7"/>
    <w:rsid w:val="00A11189"/>
    <w:rsid w:val="00A14244"/>
    <w:rsid w:val="00A158DB"/>
    <w:rsid w:val="00A21ADE"/>
    <w:rsid w:val="00A230D9"/>
    <w:rsid w:val="00A3040F"/>
    <w:rsid w:val="00A31AFF"/>
    <w:rsid w:val="00A32C66"/>
    <w:rsid w:val="00A333AF"/>
    <w:rsid w:val="00A37AE5"/>
    <w:rsid w:val="00A43459"/>
    <w:rsid w:val="00A5190D"/>
    <w:rsid w:val="00A8532B"/>
    <w:rsid w:val="00A85467"/>
    <w:rsid w:val="00A90109"/>
    <w:rsid w:val="00AA0AF0"/>
    <w:rsid w:val="00AA188A"/>
    <w:rsid w:val="00AA3CA2"/>
    <w:rsid w:val="00AA3D9F"/>
    <w:rsid w:val="00AA6E5A"/>
    <w:rsid w:val="00AB0FC4"/>
    <w:rsid w:val="00AB6ED0"/>
    <w:rsid w:val="00AC23C9"/>
    <w:rsid w:val="00AC38F0"/>
    <w:rsid w:val="00AC6DAD"/>
    <w:rsid w:val="00AD1B75"/>
    <w:rsid w:val="00AD1F3A"/>
    <w:rsid w:val="00AD4670"/>
    <w:rsid w:val="00AE008D"/>
    <w:rsid w:val="00AE4A0F"/>
    <w:rsid w:val="00AE5237"/>
    <w:rsid w:val="00AE63E1"/>
    <w:rsid w:val="00B1278E"/>
    <w:rsid w:val="00B1705E"/>
    <w:rsid w:val="00B23D70"/>
    <w:rsid w:val="00B26781"/>
    <w:rsid w:val="00B35782"/>
    <w:rsid w:val="00B45B38"/>
    <w:rsid w:val="00B53E6E"/>
    <w:rsid w:val="00B56AD7"/>
    <w:rsid w:val="00B57FB9"/>
    <w:rsid w:val="00B61BAD"/>
    <w:rsid w:val="00B62B8C"/>
    <w:rsid w:val="00B67419"/>
    <w:rsid w:val="00B8187C"/>
    <w:rsid w:val="00B81B2E"/>
    <w:rsid w:val="00B85234"/>
    <w:rsid w:val="00B877CF"/>
    <w:rsid w:val="00B91FCC"/>
    <w:rsid w:val="00B95787"/>
    <w:rsid w:val="00B95D2B"/>
    <w:rsid w:val="00BA047A"/>
    <w:rsid w:val="00BA1F41"/>
    <w:rsid w:val="00BA334B"/>
    <w:rsid w:val="00BA6003"/>
    <w:rsid w:val="00BB14CA"/>
    <w:rsid w:val="00BB753B"/>
    <w:rsid w:val="00BC1856"/>
    <w:rsid w:val="00BF7BCE"/>
    <w:rsid w:val="00C00423"/>
    <w:rsid w:val="00C04638"/>
    <w:rsid w:val="00C15CFE"/>
    <w:rsid w:val="00C23122"/>
    <w:rsid w:val="00C241DD"/>
    <w:rsid w:val="00C34415"/>
    <w:rsid w:val="00C41020"/>
    <w:rsid w:val="00C41AE4"/>
    <w:rsid w:val="00C451B2"/>
    <w:rsid w:val="00C5228B"/>
    <w:rsid w:val="00C549F5"/>
    <w:rsid w:val="00C573A6"/>
    <w:rsid w:val="00C6355A"/>
    <w:rsid w:val="00C63C52"/>
    <w:rsid w:val="00C664E3"/>
    <w:rsid w:val="00C903C2"/>
    <w:rsid w:val="00CA740C"/>
    <w:rsid w:val="00CC7246"/>
    <w:rsid w:val="00CD2AB7"/>
    <w:rsid w:val="00CD4ABA"/>
    <w:rsid w:val="00CD69E5"/>
    <w:rsid w:val="00CE3B4E"/>
    <w:rsid w:val="00CE5700"/>
    <w:rsid w:val="00CF02D2"/>
    <w:rsid w:val="00CF0A80"/>
    <w:rsid w:val="00CF1545"/>
    <w:rsid w:val="00CF3901"/>
    <w:rsid w:val="00D02CA1"/>
    <w:rsid w:val="00D03EF4"/>
    <w:rsid w:val="00D06194"/>
    <w:rsid w:val="00D1052B"/>
    <w:rsid w:val="00D13624"/>
    <w:rsid w:val="00D17CE8"/>
    <w:rsid w:val="00D2580D"/>
    <w:rsid w:val="00D31BA7"/>
    <w:rsid w:val="00D32354"/>
    <w:rsid w:val="00D37675"/>
    <w:rsid w:val="00D37F2E"/>
    <w:rsid w:val="00D37F96"/>
    <w:rsid w:val="00D42993"/>
    <w:rsid w:val="00D46FE8"/>
    <w:rsid w:val="00D54120"/>
    <w:rsid w:val="00D56440"/>
    <w:rsid w:val="00D56E1E"/>
    <w:rsid w:val="00D6121B"/>
    <w:rsid w:val="00D629F3"/>
    <w:rsid w:val="00D64D51"/>
    <w:rsid w:val="00D6790A"/>
    <w:rsid w:val="00D72678"/>
    <w:rsid w:val="00D76F74"/>
    <w:rsid w:val="00D80EB1"/>
    <w:rsid w:val="00D843BA"/>
    <w:rsid w:val="00D85869"/>
    <w:rsid w:val="00D8648D"/>
    <w:rsid w:val="00D918F9"/>
    <w:rsid w:val="00D94188"/>
    <w:rsid w:val="00D94CD9"/>
    <w:rsid w:val="00DA1B4F"/>
    <w:rsid w:val="00DA4E5D"/>
    <w:rsid w:val="00DB07D9"/>
    <w:rsid w:val="00DB39DE"/>
    <w:rsid w:val="00DB5A4F"/>
    <w:rsid w:val="00DC150C"/>
    <w:rsid w:val="00DC265E"/>
    <w:rsid w:val="00DC639C"/>
    <w:rsid w:val="00DD0157"/>
    <w:rsid w:val="00DD38A2"/>
    <w:rsid w:val="00DD6612"/>
    <w:rsid w:val="00DE12CF"/>
    <w:rsid w:val="00DF42DC"/>
    <w:rsid w:val="00DF49B3"/>
    <w:rsid w:val="00E01156"/>
    <w:rsid w:val="00E05BE5"/>
    <w:rsid w:val="00E07665"/>
    <w:rsid w:val="00E202B8"/>
    <w:rsid w:val="00E2255D"/>
    <w:rsid w:val="00E24CE4"/>
    <w:rsid w:val="00E337B2"/>
    <w:rsid w:val="00E42C7E"/>
    <w:rsid w:val="00E53A17"/>
    <w:rsid w:val="00E601B3"/>
    <w:rsid w:val="00E60E1C"/>
    <w:rsid w:val="00E61F48"/>
    <w:rsid w:val="00E6436D"/>
    <w:rsid w:val="00E65CE4"/>
    <w:rsid w:val="00E6609F"/>
    <w:rsid w:val="00E66ED5"/>
    <w:rsid w:val="00E749EE"/>
    <w:rsid w:val="00E75F14"/>
    <w:rsid w:val="00E7682D"/>
    <w:rsid w:val="00E94036"/>
    <w:rsid w:val="00EA3937"/>
    <w:rsid w:val="00EA5E01"/>
    <w:rsid w:val="00EB0C59"/>
    <w:rsid w:val="00EB0C73"/>
    <w:rsid w:val="00EC1134"/>
    <w:rsid w:val="00EC1FE9"/>
    <w:rsid w:val="00EC2765"/>
    <w:rsid w:val="00EC5473"/>
    <w:rsid w:val="00EE2ACC"/>
    <w:rsid w:val="00EF2468"/>
    <w:rsid w:val="00EF4B2A"/>
    <w:rsid w:val="00F1793E"/>
    <w:rsid w:val="00F24176"/>
    <w:rsid w:val="00F2787E"/>
    <w:rsid w:val="00F32040"/>
    <w:rsid w:val="00F36C23"/>
    <w:rsid w:val="00F45B6C"/>
    <w:rsid w:val="00F4656D"/>
    <w:rsid w:val="00F47B2F"/>
    <w:rsid w:val="00F47E2B"/>
    <w:rsid w:val="00F50077"/>
    <w:rsid w:val="00F63E0B"/>
    <w:rsid w:val="00F71CF5"/>
    <w:rsid w:val="00F76BA3"/>
    <w:rsid w:val="00F76F58"/>
    <w:rsid w:val="00F81C32"/>
    <w:rsid w:val="00FA0F41"/>
    <w:rsid w:val="00FA2544"/>
    <w:rsid w:val="00FA2C5D"/>
    <w:rsid w:val="00FA3239"/>
    <w:rsid w:val="00FA3A0E"/>
    <w:rsid w:val="00FC4510"/>
    <w:rsid w:val="00FC54C5"/>
    <w:rsid w:val="00FC744B"/>
    <w:rsid w:val="00FD2F75"/>
    <w:rsid w:val="00FD7F4A"/>
    <w:rsid w:val="00FE10F3"/>
    <w:rsid w:val="00FE133D"/>
    <w:rsid w:val="00FE7CDB"/>
    <w:rsid w:val="00FF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D2FC6"/>
  <w15:chartTrackingRefBased/>
  <w15:docId w15:val="{54886BF0-D635-4ECE-8143-BB80A5B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6F"/>
    <w:pPr>
      <w:autoSpaceDE w:val="0"/>
      <w:autoSpaceDN w:val="0"/>
    </w:pPr>
    <w:rPr>
      <w:rFonts w:ascii="Times New Roman" w:eastAsia="宋体" w:hAnsi="Times New Roman" w:cs="Times New Roman"/>
      <w:kern w:val="0"/>
      <w:sz w:val="20"/>
      <w:szCs w:val="20"/>
      <w:lang w:val="de-DE" w:eastAsia="en-US"/>
    </w:rPr>
  </w:style>
  <w:style w:type="paragraph" w:styleId="1">
    <w:name w:val="heading 1"/>
    <w:basedOn w:val="a"/>
    <w:next w:val="a"/>
    <w:link w:val="10"/>
    <w:uiPriority w:val="9"/>
    <w:qFormat/>
    <w:rsid w:val="00DD38A2"/>
    <w:pPr>
      <w:keepNext/>
      <w:keepLines/>
      <w:spacing w:before="360" w:after="120"/>
      <w:outlineLvl w:val="0"/>
    </w:pPr>
    <w:rPr>
      <w:rFonts w:eastAsia="Times New Roman"/>
      <w:b/>
      <w:bCs/>
      <w:kern w:val="44"/>
      <w:sz w:val="28"/>
      <w:szCs w:val="44"/>
    </w:rPr>
  </w:style>
  <w:style w:type="paragraph" w:styleId="2">
    <w:name w:val="heading 2"/>
    <w:basedOn w:val="a"/>
    <w:next w:val="a"/>
    <w:link w:val="20"/>
    <w:uiPriority w:val="9"/>
    <w:unhideWhenUsed/>
    <w:qFormat/>
    <w:rsid w:val="00F1793E"/>
    <w:pPr>
      <w:keepNext/>
      <w:keepLines/>
      <w:spacing w:before="180" w:after="120"/>
      <w:outlineLvl w:val="1"/>
    </w:pPr>
    <w:rPr>
      <w:rFonts w:eastAsia="Times New Roman" w:cstheme="majorBidi"/>
      <w:b/>
      <w:bCs/>
      <w:sz w:val="24"/>
      <w:szCs w:val="32"/>
    </w:rPr>
  </w:style>
  <w:style w:type="paragraph" w:styleId="3">
    <w:name w:val="heading 3"/>
    <w:basedOn w:val="a"/>
    <w:next w:val="a"/>
    <w:link w:val="30"/>
    <w:uiPriority w:val="9"/>
    <w:unhideWhenUsed/>
    <w:qFormat/>
    <w:rsid w:val="00CF02D2"/>
    <w:pPr>
      <w:keepNext/>
      <w:keepLines/>
      <w:spacing w:before="120" w:after="60"/>
      <w:outlineLvl w:val="2"/>
    </w:pPr>
    <w:rPr>
      <w:rFonts w:eastAsia="Times New Roman"/>
      <w:b/>
      <w:bCs/>
      <w:sz w:val="24"/>
      <w:szCs w:val="32"/>
    </w:rPr>
  </w:style>
  <w:style w:type="paragraph" w:styleId="7">
    <w:name w:val="heading 7"/>
    <w:basedOn w:val="a"/>
    <w:next w:val="a"/>
    <w:link w:val="70"/>
    <w:uiPriority w:val="9"/>
    <w:semiHidden/>
    <w:unhideWhenUsed/>
    <w:qFormat/>
    <w:rsid w:val="00560023"/>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56F"/>
    <w:pPr>
      <w:tabs>
        <w:tab w:val="center" w:pos="4320"/>
        <w:tab w:val="right" w:pos="8640"/>
      </w:tabs>
    </w:pPr>
  </w:style>
  <w:style w:type="character" w:customStyle="1" w:styleId="a4">
    <w:name w:val="页眉 字符"/>
    <w:basedOn w:val="a0"/>
    <w:link w:val="a3"/>
    <w:uiPriority w:val="99"/>
    <w:rsid w:val="0007556F"/>
  </w:style>
  <w:style w:type="paragraph" w:styleId="a5">
    <w:name w:val="footer"/>
    <w:basedOn w:val="a"/>
    <w:link w:val="a6"/>
    <w:uiPriority w:val="99"/>
    <w:unhideWhenUsed/>
    <w:rsid w:val="0007556F"/>
    <w:pPr>
      <w:tabs>
        <w:tab w:val="center" w:pos="4320"/>
        <w:tab w:val="right" w:pos="8640"/>
      </w:tabs>
    </w:pPr>
  </w:style>
  <w:style w:type="character" w:customStyle="1" w:styleId="a6">
    <w:name w:val="页脚 字符"/>
    <w:basedOn w:val="a0"/>
    <w:link w:val="a5"/>
    <w:uiPriority w:val="99"/>
    <w:rsid w:val="0007556F"/>
  </w:style>
  <w:style w:type="paragraph" w:customStyle="1" w:styleId="TTPTitle">
    <w:name w:val="TTP Title"/>
    <w:basedOn w:val="a"/>
    <w:next w:val="TTPAuthors"/>
    <w:uiPriority w:val="99"/>
    <w:rsid w:val="0007556F"/>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rsid w:val="0007556F"/>
    <w:pPr>
      <w:spacing w:before="120"/>
      <w:jc w:val="center"/>
    </w:pPr>
    <w:rPr>
      <w:rFonts w:ascii="Arial" w:hAnsi="Arial" w:cs="Arial"/>
      <w:sz w:val="28"/>
      <w:szCs w:val="28"/>
      <w:lang w:val="en-US"/>
    </w:rPr>
  </w:style>
  <w:style w:type="paragraph" w:customStyle="1" w:styleId="TTPAddress">
    <w:name w:val="TTP Address"/>
    <w:basedOn w:val="a"/>
    <w:uiPriority w:val="99"/>
    <w:rsid w:val="0007556F"/>
    <w:pPr>
      <w:spacing w:before="120"/>
      <w:jc w:val="center"/>
    </w:pPr>
    <w:rPr>
      <w:rFonts w:ascii="Arial" w:hAnsi="Arial" w:cs="Arial"/>
      <w:sz w:val="22"/>
      <w:szCs w:val="22"/>
      <w:lang w:val="en-US"/>
    </w:rPr>
  </w:style>
  <w:style w:type="paragraph" w:customStyle="1" w:styleId="TTPSectionHeading">
    <w:name w:val="TTP Section Heading"/>
    <w:basedOn w:val="a"/>
    <w:next w:val="a"/>
    <w:uiPriority w:val="99"/>
    <w:rsid w:val="0007556F"/>
    <w:pPr>
      <w:spacing w:before="360" w:after="120"/>
      <w:jc w:val="both"/>
    </w:pPr>
    <w:rPr>
      <w:b/>
      <w:bCs/>
      <w:sz w:val="24"/>
      <w:szCs w:val="24"/>
      <w:lang w:val="en-US"/>
    </w:rPr>
  </w:style>
  <w:style w:type="paragraph" w:customStyle="1" w:styleId="TTPParagraphothers">
    <w:name w:val="TTP Paragraph (others)"/>
    <w:basedOn w:val="a"/>
    <w:link w:val="TTPParagraphothers0"/>
    <w:uiPriority w:val="99"/>
    <w:rsid w:val="0007556F"/>
    <w:pPr>
      <w:ind w:firstLine="283"/>
      <w:jc w:val="both"/>
    </w:pPr>
    <w:rPr>
      <w:sz w:val="24"/>
      <w:szCs w:val="24"/>
      <w:lang w:val="en-US"/>
    </w:rPr>
  </w:style>
  <w:style w:type="paragraph" w:customStyle="1" w:styleId="TTPReference">
    <w:name w:val="TTP Reference"/>
    <w:basedOn w:val="a"/>
    <w:rsid w:val="0007556F"/>
    <w:pPr>
      <w:tabs>
        <w:tab w:val="left" w:pos="426"/>
      </w:tabs>
      <w:spacing w:after="120" w:line="288" w:lineRule="atLeast"/>
      <w:jc w:val="both"/>
    </w:pPr>
    <w:rPr>
      <w:sz w:val="24"/>
      <w:szCs w:val="24"/>
    </w:rPr>
  </w:style>
  <w:style w:type="paragraph" w:customStyle="1" w:styleId="TTPKeywords">
    <w:name w:val="TTP Keywords"/>
    <w:basedOn w:val="a"/>
    <w:next w:val="TTPAbstract"/>
    <w:uiPriority w:val="99"/>
    <w:rsid w:val="0007556F"/>
    <w:pPr>
      <w:spacing w:before="360"/>
      <w:jc w:val="both"/>
    </w:pPr>
    <w:rPr>
      <w:rFonts w:ascii="Arial" w:hAnsi="Arial" w:cs="Arial"/>
      <w:sz w:val="22"/>
      <w:szCs w:val="22"/>
      <w:lang w:val="en-US"/>
    </w:rPr>
  </w:style>
  <w:style w:type="paragraph" w:customStyle="1" w:styleId="TTPAbstract">
    <w:name w:val="TTP Abstract"/>
    <w:basedOn w:val="a"/>
    <w:next w:val="TTPSectionHeading"/>
    <w:rsid w:val="0007556F"/>
    <w:pPr>
      <w:spacing w:before="360"/>
      <w:jc w:val="both"/>
    </w:pPr>
    <w:rPr>
      <w:sz w:val="24"/>
      <w:szCs w:val="24"/>
      <w:lang w:val="en-US"/>
    </w:rPr>
  </w:style>
  <w:style w:type="character" w:customStyle="1" w:styleId="Char">
    <w:name w:val="页眉 Char"/>
    <w:uiPriority w:val="99"/>
    <w:semiHidden/>
    <w:locked/>
    <w:rsid w:val="0007556F"/>
    <w:rPr>
      <w:rFonts w:cs="Times New Roman"/>
      <w:sz w:val="20"/>
      <w:szCs w:val="20"/>
      <w:lang w:val="de-DE" w:eastAsia="en-US"/>
    </w:rPr>
  </w:style>
  <w:style w:type="character" w:styleId="a7">
    <w:name w:val="Hyperlink"/>
    <w:uiPriority w:val="99"/>
    <w:rsid w:val="0007556F"/>
    <w:rPr>
      <w:rFonts w:cs="Times New Roman"/>
      <w:color w:val="0000FF"/>
      <w:u w:val="single"/>
    </w:rPr>
  </w:style>
  <w:style w:type="character" w:customStyle="1" w:styleId="10">
    <w:name w:val="标题 1 字符"/>
    <w:basedOn w:val="a0"/>
    <w:link w:val="1"/>
    <w:uiPriority w:val="9"/>
    <w:rsid w:val="00DD38A2"/>
    <w:rPr>
      <w:rFonts w:ascii="Times New Roman" w:eastAsia="Times New Roman" w:hAnsi="Times New Roman" w:cs="Times New Roman"/>
      <w:b/>
      <w:bCs/>
      <w:kern w:val="44"/>
      <w:sz w:val="28"/>
      <w:szCs w:val="44"/>
      <w:lang w:val="de-DE" w:eastAsia="en-US"/>
    </w:rPr>
  </w:style>
  <w:style w:type="character" w:customStyle="1" w:styleId="20">
    <w:name w:val="标题 2 字符"/>
    <w:basedOn w:val="a0"/>
    <w:link w:val="2"/>
    <w:uiPriority w:val="9"/>
    <w:rsid w:val="00F1793E"/>
    <w:rPr>
      <w:rFonts w:ascii="Times New Roman" w:eastAsia="Times New Roman" w:hAnsi="Times New Roman" w:cstheme="majorBidi"/>
      <w:b/>
      <w:bCs/>
      <w:kern w:val="0"/>
      <w:sz w:val="24"/>
      <w:szCs w:val="32"/>
      <w:lang w:val="de-DE" w:eastAsia="en-US"/>
    </w:rPr>
  </w:style>
  <w:style w:type="paragraph" w:styleId="a8">
    <w:name w:val="List Paragraph"/>
    <w:basedOn w:val="a"/>
    <w:uiPriority w:val="34"/>
    <w:qFormat/>
    <w:rsid w:val="00CF02D2"/>
    <w:pPr>
      <w:ind w:firstLineChars="200" w:firstLine="420"/>
    </w:pPr>
  </w:style>
  <w:style w:type="character" w:customStyle="1" w:styleId="30">
    <w:name w:val="标题 3 字符"/>
    <w:basedOn w:val="a0"/>
    <w:link w:val="3"/>
    <w:uiPriority w:val="9"/>
    <w:rsid w:val="00CF02D2"/>
    <w:rPr>
      <w:rFonts w:ascii="Times New Roman" w:eastAsia="Times New Roman" w:hAnsi="Times New Roman" w:cs="Times New Roman"/>
      <w:b/>
      <w:bCs/>
      <w:kern w:val="0"/>
      <w:sz w:val="24"/>
      <w:szCs w:val="32"/>
      <w:lang w:val="de-DE" w:eastAsia="en-US"/>
    </w:rPr>
  </w:style>
  <w:style w:type="paragraph" w:customStyle="1" w:styleId="references0">
    <w:name w:val="references"/>
    <w:uiPriority w:val="99"/>
    <w:rsid w:val="00E337B2"/>
    <w:pPr>
      <w:numPr>
        <w:numId w:val="5"/>
      </w:numPr>
      <w:tabs>
        <w:tab w:val="left" w:pos="360"/>
      </w:tabs>
      <w:spacing w:after="50" w:line="180" w:lineRule="exact"/>
      <w:jc w:val="both"/>
    </w:pPr>
    <w:rPr>
      <w:rFonts w:ascii="Times New Roman" w:eastAsia="宋体" w:hAnsi="Times New Roman" w:cs="Times New Roman"/>
      <w:kern w:val="0"/>
      <w:sz w:val="16"/>
      <w:szCs w:val="16"/>
      <w:lang w:eastAsia="en-US"/>
    </w:rPr>
  </w:style>
  <w:style w:type="paragraph" w:customStyle="1" w:styleId="Reference">
    <w:name w:val="Reference"/>
    <w:basedOn w:val="a"/>
    <w:rsid w:val="00E337B2"/>
    <w:pPr>
      <w:autoSpaceDE/>
      <w:autoSpaceDN/>
      <w:ind w:left="720" w:hanging="360"/>
      <w:jc w:val="both"/>
    </w:pPr>
    <w:rPr>
      <w:rFonts w:eastAsiaTheme="minorEastAsia"/>
      <w:lang w:val="en-US"/>
    </w:rPr>
  </w:style>
  <w:style w:type="table" w:styleId="a9">
    <w:name w:val="Table Grid"/>
    <w:basedOn w:val="a1"/>
    <w:uiPriority w:val="39"/>
    <w:rsid w:val="0032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F3118"/>
    <w:rPr>
      <w:sz w:val="18"/>
      <w:szCs w:val="18"/>
    </w:rPr>
  </w:style>
  <w:style w:type="character" w:customStyle="1" w:styleId="ab">
    <w:name w:val="批注框文本 字符"/>
    <w:basedOn w:val="a0"/>
    <w:link w:val="aa"/>
    <w:uiPriority w:val="99"/>
    <w:semiHidden/>
    <w:rsid w:val="006F3118"/>
    <w:rPr>
      <w:rFonts w:ascii="Times New Roman" w:eastAsia="宋体" w:hAnsi="Times New Roman" w:cs="Times New Roman"/>
      <w:kern w:val="0"/>
      <w:sz w:val="18"/>
      <w:szCs w:val="18"/>
      <w:lang w:val="de-DE" w:eastAsia="en-US"/>
    </w:rPr>
  </w:style>
  <w:style w:type="table" w:styleId="11">
    <w:name w:val="Plain Table 1"/>
    <w:basedOn w:val="a1"/>
    <w:uiPriority w:val="41"/>
    <w:rsid w:val="000E63FC"/>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a"/>
    <w:link w:val="References1"/>
    <w:qFormat/>
    <w:rsid w:val="000E63FC"/>
    <w:pPr>
      <w:numPr>
        <w:numId w:val="6"/>
      </w:numPr>
      <w:spacing w:after="120" w:line="200" w:lineRule="exact"/>
      <w:ind w:left="212" w:hangingChars="212" w:hanging="212"/>
      <w:jc w:val="both"/>
    </w:pPr>
    <w:rPr>
      <w:rFonts w:eastAsia="Times New Roman"/>
      <w:sz w:val="18"/>
      <w:szCs w:val="18"/>
    </w:rPr>
  </w:style>
  <w:style w:type="character" w:customStyle="1" w:styleId="References1">
    <w:name w:val="References 字符"/>
    <w:basedOn w:val="a0"/>
    <w:link w:val="References"/>
    <w:rsid w:val="000E63FC"/>
    <w:rPr>
      <w:rFonts w:ascii="Times New Roman" w:eastAsia="Times New Roman" w:hAnsi="Times New Roman" w:cs="Times New Roman"/>
      <w:kern w:val="0"/>
      <w:sz w:val="18"/>
      <w:szCs w:val="18"/>
      <w:lang w:val="de-DE" w:eastAsia="en-US"/>
    </w:rPr>
  </w:style>
  <w:style w:type="paragraph" w:customStyle="1" w:styleId="Formula">
    <w:name w:val="Formula"/>
    <w:basedOn w:val="a"/>
    <w:link w:val="Formula0"/>
    <w:qFormat/>
    <w:rsid w:val="000E63FC"/>
    <w:pPr>
      <w:widowControl w:val="0"/>
      <w:autoSpaceDE/>
      <w:autoSpaceDN/>
      <w:spacing w:before="120" w:after="120"/>
      <w:jc w:val="right"/>
    </w:pPr>
    <w:rPr>
      <w:rFonts w:eastAsia="Times New Roman"/>
      <w:kern w:val="2"/>
      <w:lang w:val="en-US" w:eastAsia="zh-CN"/>
    </w:rPr>
  </w:style>
  <w:style w:type="character" w:customStyle="1" w:styleId="Formula0">
    <w:name w:val="Formula 字符"/>
    <w:basedOn w:val="a0"/>
    <w:link w:val="Formula"/>
    <w:rsid w:val="000E63FC"/>
    <w:rPr>
      <w:rFonts w:ascii="Times New Roman" w:eastAsia="Times New Roman" w:hAnsi="Times New Roman" w:cs="Times New Roman"/>
      <w:sz w:val="20"/>
      <w:szCs w:val="20"/>
    </w:rPr>
  </w:style>
  <w:style w:type="paragraph" w:customStyle="1" w:styleId="Figure">
    <w:name w:val="Figure"/>
    <w:basedOn w:val="TTPParagraphothers"/>
    <w:link w:val="Figure0"/>
    <w:qFormat/>
    <w:rsid w:val="000E63FC"/>
    <w:pPr>
      <w:spacing w:before="60" w:after="60" w:line="200" w:lineRule="exact"/>
      <w:ind w:firstLine="0"/>
      <w:jc w:val="center"/>
    </w:pPr>
    <w:rPr>
      <w:sz w:val="18"/>
      <w:szCs w:val="18"/>
    </w:rPr>
  </w:style>
  <w:style w:type="character" w:customStyle="1" w:styleId="TTPParagraphothers0">
    <w:name w:val="TTP Paragraph (others) 字符"/>
    <w:basedOn w:val="a0"/>
    <w:link w:val="TTPParagraphothers"/>
    <w:uiPriority w:val="99"/>
    <w:rsid w:val="000E63FC"/>
    <w:rPr>
      <w:rFonts w:ascii="Times New Roman" w:eastAsia="宋体" w:hAnsi="Times New Roman" w:cs="Times New Roman"/>
      <w:kern w:val="0"/>
      <w:sz w:val="24"/>
      <w:szCs w:val="24"/>
      <w:lang w:eastAsia="en-US"/>
    </w:rPr>
  </w:style>
  <w:style w:type="character" w:customStyle="1" w:styleId="Figure0">
    <w:name w:val="Figure 字符"/>
    <w:basedOn w:val="TTPParagraphothers0"/>
    <w:link w:val="Figure"/>
    <w:rsid w:val="000E63FC"/>
    <w:rPr>
      <w:rFonts w:ascii="Times New Roman" w:eastAsia="宋体" w:hAnsi="Times New Roman" w:cs="Times New Roman"/>
      <w:kern w:val="0"/>
      <w:sz w:val="18"/>
      <w:szCs w:val="18"/>
      <w:lang w:eastAsia="en-US"/>
    </w:rPr>
  </w:style>
  <w:style w:type="character" w:styleId="ac">
    <w:name w:val="Unresolved Mention"/>
    <w:basedOn w:val="a0"/>
    <w:uiPriority w:val="99"/>
    <w:semiHidden/>
    <w:unhideWhenUsed/>
    <w:rsid w:val="00560023"/>
    <w:rPr>
      <w:color w:val="605E5C"/>
      <w:shd w:val="clear" w:color="auto" w:fill="E1DFDD"/>
    </w:rPr>
  </w:style>
  <w:style w:type="character" w:customStyle="1" w:styleId="70">
    <w:name w:val="标题 7 字符"/>
    <w:basedOn w:val="a0"/>
    <w:link w:val="7"/>
    <w:uiPriority w:val="9"/>
    <w:semiHidden/>
    <w:rsid w:val="00560023"/>
    <w:rPr>
      <w:rFonts w:ascii="Times New Roman" w:eastAsia="宋体" w:hAnsi="Times New Roman" w:cs="Times New Roman"/>
      <w:b/>
      <w:bCs/>
      <w:kern w:val="0"/>
      <w:sz w:val="24"/>
      <w:szCs w:val="24"/>
      <w:lang w:val="de-DE" w:eastAsia="en-US"/>
    </w:rPr>
  </w:style>
  <w:style w:type="paragraph" w:styleId="ad">
    <w:name w:val="Title"/>
    <w:basedOn w:val="a"/>
    <w:next w:val="a"/>
    <w:link w:val="ae"/>
    <w:qFormat/>
    <w:rsid w:val="00560023"/>
    <w:pPr>
      <w:widowControl w:val="0"/>
      <w:autoSpaceDE/>
      <w:autoSpaceDN/>
      <w:spacing w:after="80"/>
      <w:contextualSpacing/>
      <w:jc w:val="center"/>
    </w:pPr>
    <w:rPr>
      <w:rFonts w:asciiTheme="majorHAnsi" w:eastAsiaTheme="majorEastAsia" w:hAnsiTheme="majorHAnsi" w:cstheme="majorBidi"/>
      <w:spacing w:val="-10"/>
      <w:kern w:val="28"/>
      <w:sz w:val="56"/>
      <w:szCs w:val="56"/>
      <w:lang w:val="en-US" w:eastAsia="zh-CN"/>
    </w:rPr>
  </w:style>
  <w:style w:type="character" w:customStyle="1" w:styleId="ae">
    <w:name w:val="标题 字符"/>
    <w:basedOn w:val="a0"/>
    <w:link w:val="ad"/>
    <w:rsid w:val="00560023"/>
    <w:rPr>
      <w:rFonts w:asciiTheme="majorHAnsi" w:eastAsiaTheme="majorEastAsia" w:hAnsiTheme="majorHAnsi" w:cstheme="majorBidi"/>
      <w:spacing w:val="-10"/>
      <w:kern w:val="28"/>
      <w:sz w:val="56"/>
      <w:szCs w:val="56"/>
    </w:rPr>
  </w:style>
  <w:style w:type="paragraph" w:customStyle="1" w:styleId="Author">
    <w:name w:val="Author"/>
    <w:link w:val="AuthorChar"/>
    <w:uiPriority w:val="2"/>
    <w:qFormat/>
    <w:rsid w:val="00560023"/>
    <w:pPr>
      <w:suppressAutoHyphens/>
      <w:adjustRightInd w:val="0"/>
      <w:snapToGrid w:val="0"/>
      <w:spacing w:before="120" w:after="120"/>
      <w:jc w:val="center"/>
    </w:pPr>
    <w:rPr>
      <w:rFonts w:ascii="Times New Roman" w:eastAsia="Times New Roman" w:hAnsi="Times New Roman" w:cs="Times New Roman"/>
      <w:b/>
      <w:snapToGrid w:val="0"/>
      <w:color w:val="000000"/>
      <w:kern w:val="0"/>
      <w:sz w:val="24"/>
      <w:szCs w:val="20"/>
    </w:rPr>
  </w:style>
  <w:style w:type="character" w:customStyle="1" w:styleId="AuthorChar">
    <w:name w:val="Author Char"/>
    <w:basedOn w:val="a0"/>
    <w:link w:val="Author"/>
    <w:uiPriority w:val="2"/>
    <w:rsid w:val="00560023"/>
    <w:rPr>
      <w:rFonts w:ascii="Times New Roman" w:eastAsia="Times New Roman" w:hAnsi="Times New Roman" w:cs="Times New Roman"/>
      <w:b/>
      <w:snapToGrid w:val="0"/>
      <w:color w:val="000000"/>
      <w:kern w:val="0"/>
      <w:sz w:val="24"/>
      <w:szCs w:val="20"/>
    </w:rPr>
  </w:style>
  <w:style w:type="paragraph" w:customStyle="1" w:styleId="Affiliation">
    <w:name w:val="Affiliation"/>
    <w:link w:val="AffiliationChar"/>
    <w:uiPriority w:val="3"/>
    <w:qFormat/>
    <w:rsid w:val="00560023"/>
    <w:pPr>
      <w:suppressAutoHyphens/>
      <w:adjustRightInd w:val="0"/>
      <w:snapToGrid w:val="0"/>
      <w:contextualSpacing/>
      <w:jc w:val="center"/>
    </w:pPr>
    <w:rPr>
      <w:rFonts w:ascii="Times New Roman" w:eastAsia="Times New Roman" w:hAnsi="Times New Roman" w:cs="Times New Roman"/>
      <w:i/>
      <w:snapToGrid w:val="0"/>
      <w:color w:val="000000"/>
      <w:kern w:val="0"/>
      <w:sz w:val="24"/>
      <w:szCs w:val="20"/>
    </w:rPr>
  </w:style>
  <w:style w:type="character" w:customStyle="1" w:styleId="AffiliationChar">
    <w:name w:val="Affiliation Char"/>
    <w:basedOn w:val="a0"/>
    <w:link w:val="Affiliation"/>
    <w:uiPriority w:val="3"/>
    <w:rsid w:val="00560023"/>
    <w:rPr>
      <w:rFonts w:ascii="Times New Roman" w:eastAsia="Times New Roman" w:hAnsi="Times New Roman" w:cs="Times New Roman"/>
      <w:i/>
      <w:snapToGrid w:val="0"/>
      <w:color w:val="000000"/>
      <w:kern w:val="0"/>
      <w:sz w:val="24"/>
      <w:szCs w:val="20"/>
    </w:rPr>
  </w:style>
  <w:style w:type="character" w:styleId="af">
    <w:name w:val="Intense Reference"/>
    <w:basedOn w:val="a0"/>
    <w:uiPriority w:val="32"/>
    <w:qFormat/>
    <w:rsid w:val="00560023"/>
    <w:rPr>
      <w:b/>
      <w:bCs/>
      <w:smallCaps/>
      <w:color w:val="2F5496" w:themeColor="accent1" w:themeShade="BF"/>
      <w:spacing w:val="5"/>
    </w:rPr>
  </w:style>
  <w:style w:type="paragraph" w:customStyle="1" w:styleId="Compact">
    <w:name w:val="Compact"/>
    <w:basedOn w:val="af0"/>
    <w:qFormat/>
    <w:rsid w:val="00560023"/>
    <w:pPr>
      <w:autoSpaceDE/>
      <w:autoSpaceDN/>
      <w:spacing w:before="60" w:after="60" w:line="360" w:lineRule="auto"/>
      <w:jc w:val="center"/>
    </w:pPr>
    <w:rPr>
      <w:rFonts w:cstheme="minorBidi"/>
      <w:sz w:val="24"/>
      <w:szCs w:val="24"/>
      <w:lang w:val="en-US" w:eastAsia="zh-CN"/>
    </w:rPr>
  </w:style>
  <w:style w:type="table" w:customStyle="1" w:styleId="Table">
    <w:name w:val="Table"/>
    <w:semiHidden/>
    <w:qFormat/>
    <w:rsid w:val="00560023"/>
    <w:pPr>
      <w:jc w:val="center"/>
    </w:pPr>
    <w:rPr>
      <w:rFonts w:ascii="Times New Roman" w:eastAsia="宋体" w:hAnsi="Times New Roman"/>
      <w:kern w:val="0"/>
      <w:sz w:val="20"/>
      <w:szCs w:val="20"/>
    </w:rPr>
    <w:tblPr>
      <w:tblBorders>
        <w:top w:val="single" w:sz="12" w:space="0" w:color="auto"/>
        <w:bottom w:val="single" w:sz="12" w:space="0" w:color="auto"/>
      </w:tblBorders>
      <w:tblCellMar>
        <w:top w:w="0" w:type="dxa"/>
        <w:left w:w="108" w:type="dxa"/>
        <w:bottom w:w="0" w:type="dxa"/>
        <w:right w:w="108" w:type="dxa"/>
      </w:tblCellMar>
    </w:tblPr>
    <w:tcPr>
      <w:vAlign w:val="center"/>
    </w:tcPr>
    <w:tblStylePr w:type="firstRow">
      <w:rPr>
        <w:rFonts w:ascii="Times New Roman" w:eastAsia="宋体" w:hAnsi="Times New Roman" w:cs="Times New Roman" w:hint="default"/>
        <w:b/>
        <w:i w:val="0"/>
      </w:rPr>
      <w:tblPr/>
      <w:tcPr>
        <w:tcBorders>
          <w:bottom w:val="single" w:sz="4" w:space="0" w:color="auto"/>
        </w:tcBorders>
      </w:tcPr>
    </w:tblStylePr>
  </w:style>
  <w:style w:type="paragraph" w:customStyle="1" w:styleId="BodyParagraph">
    <w:name w:val="Body Paragraph"/>
    <w:uiPriority w:val="5"/>
    <w:qFormat/>
    <w:rsid w:val="00560023"/>
    <w:pPr>
      <w:suppressAutoHyphens/>
      <w:adjustRightInd w:val="0"/>
      <w:snapToGrid w:val="0"/>
      <w:ind w:firstLine="283"/>
      <w:jc w:val="both"/>
    </w:pPr>
    <w:rPr>
      <w:rFonts w:ascii="Times New Roman" w:eastAsia="Times New Roman" w:hAnsi="Times New Roman" w:cs="Times New Roman"/>
      <w:snapToGrid w:val="0"/>
      <w:color w:val="000000"/>
      <w:kern w:val="0"/>
      <w:sz w:val="24"/>
      <w:szCs w:val="20"/>
    </w:rPr>
  </w:style>
  <w:style w:type="paragraph" w:customStyle="1" w:styleId="TableCaption">
    <w:name w:val="Table Caption"/>
    <w:uiPriority w:val="13"/>
    <w:qFormat/>
    <w:rsid w:val="00560023"/>
    <w:pPr>
      <w:keepNext/>
      <w:keepLines/>
      <w:suppressAutoHyphens/>
      <w:adjustRightInd w:val="0"/>
      <w:snapToGrid w:val="0"/>
      <w:spacing w:before="240" w:after="120"/>
      <w:jc w:val="center"/>
    </w:pPr>
    <w:rPr>
      <w:rFonts w:ascii="Times New Roman" w:eastAsia="Times New Roman" w:hAnsi="Times New Roman" w:cs="Times New Roman"/>
      <w:snapToGrid w:val="0"/>
      <w:color w:val="000000"/>
      <w:kern w:val="0"/>
      <w:sz w:val="24"/>
      <w:szCs w:val="20"/>
    </w:rPr>
  </w:style>
  <w:style w:type="paragraph" w:customStyle="1" w:styleId="ReferenceList">
    <w:name w:val="Reference List"/>
    <w:link w:val="ReferenceListChar"/>
    <w:uiPriority w:val="17"/>
    <w:qFormat/>
    <w:rsid w:val="00560023"/>
    <w:pPr>
      <w:suppressAutoHyphens/>
      <w:adjustRightInd w:val="0"/>
      <w:snapToGrid w:val="0"/>
      <w:jc w:val="both"/>
    </w:pPr>
    <w:rPr>
      <w:rFonts w:ascii="Times New Roman" w:eastAsia="Times New Roman" w:hAnsi="Times New Roman" w:cs="Times New Roman"/>
      <w:i/>
      <w:snapToGrid w:val="0"/>
      <w:color w:val="000000"/>
      <w:kern w:val="0"/>
      <w:sz w:val="20"/>
      <w:szCs w:val="20"/>
    </w:rPr>
  </w:style>
  <w:style w:type="character" w:customStyle="1" w:styleId="ReferenceListChar">
    <w:name w:val="Reference List Char"/>
    <w:basedOn w:val="a0"/>
    <w:link w:val="ReferenceList"/>
    <w:uiPriority w:val="17"/>
    <w:rsid w:val="00560023"/>
    <w:rPr>
      <w:rFonts w:ascii="Times New Roman" w:eastAsia="Times New Roman" w:hAnsi="Times New Roman" w:cs="Times New Roman"/>
      <w:i/>
      <w:snapToGrid w:val="0"/>
      <w:color w:val="000000"/>
      <w:kern w:val="0"/>
      <w:sz w:val="20"/>
      <w:szCs w:val="20"/>
    </w:rPr>
  </w:style>
  <w:style w:type="paragraph" w:styleId="af0">
    <w:name w:val="Body Text"/>
    <w:basedOn w:val="a"/>
    <w:link w:val="af1"/>
    <w:uiPriority w:val="99"/>
    <w:semiHidden/>
    <w:unhideWhenUsed/>
    <w:rsid w:val="00560023"/>
    <w:pPr>
      <w:spacing w:after="120"/>
    </w:pPr>
  </w:style>
  <w:style w:type="character" w:customStyle="1" w:styleId="af1">
    <w:name w:val="正文文本 字符"/>
    <w:basedOn w:val="a0"/>
    <w:link w:val="af0"/>
    <w:uiPriority w:val="99"/>
    <w:semiHidden/>
    <w:rsid w:val="00560023"/>
    <w:rPr>
      <w:rFonts w:ascii="Times New Roman" w:eastAsia="宋体" w:hAnsi="Times New Roman" w:cs="Times New Roman"/>
      <w:kern w:val="0"/>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2413-D651-4BD6-AA5B-A5D91E81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3167</Words>
  <Characters>18660</Characters>
  <Application>Microsoft Office Word</Application>
  <DocSecurity>0</DocSecurity>
  <Lines>262</Lines>
  <Paragraphs>80</Paragraphs>
  <ScaleCrop>false</ScaleCrop>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dc:creator>
  <cp:keywords/>
  <dc:description/>
  <cp:lastModifiedBy>丽 许</cp:lastModifiedBy>
  <cp:revision>5</cp:revision>
  <cp:lastPrinted>2026-04-16T01:33:00Z</cp:lastPrinted>
  <dcterms:created xsi:type="dcterms:W3CDTF">2026-04-03T07:35:00Z</dcterms:created>
  <dcterms:modified xsi:type="dcterms:W3CDTF">2026-04-16T01:33:00Z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