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602E" w14:textId="3EDD6959" w:rsidR="0007556F" w:rsidRDefault="00D9022D" w:rsidP="00D2580D">
      <w:pPr>
        <w:pStyle w:val="TTPTitle"/>
        <w:spacing w:before="120"/>
        <w:rPr>
          <w:sz w:val="32"/>
          <w:szCs w:val="28"/>
        </w:rPr>
      </w:pPr>
      <w:r w:rsidRPr="00D9022D">
        <w:rPr>
          <w:sz w:val="32"/>
          <w:szCs w:val="28"/>
          <w:lang w:val="de-DE"/>
        </w:rPr>
        <w:t>Modeling and Simulation of Thermal Management System for New Energy Vehicle Battery Pack in Vehicle Engineering</w:t>
      </w:r>
    </w:p>
    <w:p w14:paraId="6F5E507E" w14:textId="7ECD3DCE" w:rsidR="00527DE3" w:rsidRPr="00527DE3" w:rsidRDefault="00D9022D" w:rsidP="009F0E9A">
      <w:pPr>
        <w:pStyle w:val="TTPAuthors"/>
        <w:spacing w:before="240"/>
        <w:rPr>
          <w:vertAlign w:val="superscript"/>
          <w:lang w:eastAsia="zh-CN"/>
        </w:rPr>
      </w:pPr>
      <w:r w:rsidRPr="00D9022D">
        <w:rPr>
          <w:lang w:val="de-DE"/>
        </w:rPr>
        <w:t>Yan</w:t>
      </w:r>
      <w:r w:rsidRPr="00D9022D">
        <w:rPr>
          <w:rFonts w:hint="eastAsia"/>
          <w:lang w:val="de-DE"/>
        </w:rPr>
        <w:t>y</w:t>
      </w:r>
      <w:r w:rsidRPr="00D9022D">
        <w:rPr>
          <w:lang w:val="de-DE"/>
        </w:rPr>
        <w:t>an Xu</w:t>
      </w:r>
      <w:r w:rsidR="00527DE3" w:rsidRPr="00527DE3">
        <w:rPr>
          <w:vertAlign w:val="superscript"/>
        </w:rPr>
        <w:t xml:space="preserve"> </w:t>
      </w:r>
      <w:r>
        <w:rPr>
          <w:rFonts w:hint="eastAsia"/>
          <w:vertAlign w:val="superscript"/>
          <w:lang w:eastAsia="zh-CN"/>
        </w:rPr>
        <w:t>*</w:t>
      </w:r>
    </w:p>
    <w:p w14:paraId="54A6D9A6" w14:textId="2ACEA21F" w:rsidR="00527DE3" w:rsidRPr="00B062C5" w:rsidRDefault="00D9022D" w:rsidP="00527DE3">
      <w:pPr>
        <w:pStyle w:val="TTPAddress"/>
        <w:rPr>
          <w:b/>
          <w:bCs/>
        </w:rPr>
      </w:pPr>
      <w:r w:rsidRPr="00D9022D">
        <w:rPr>
          <w:lang w:val="de-DE"/>
        </w:rPr>
        <w:t>Qingdao Hengxing University of Science and Technology,</w:t>
      </w:r>
      <w:r>
        <w:rPr>
          <w:rFonts w:hint="eastAsia"/>
          <w:lang w:val="de-DE" w:eastAsia="zh-CN"/>
        </w:rPr>
        <w:t xml:space="preserve"> </w:t>
      </w:r>
      <w:r w:rsidRPr="00D9022D">
        <w:rPr>
          <w:lang w:val="de-DE"/>
        </w:rPr>
        <w:t>School of Intelligent Vehicles and Low-Altitude Emergency Response</w:t>
      </w:r>
      <w:r w:rsidR="00B062C5" w:rsidRPr="00B062C5">
        <w:rPr>
          <w:lang w:val="de-DE" w:eastAsia="zh-CN"/>
        </w:rPr>
        <w:t>, China</w:t>
      </w:r>
    </w:p>
    <w:p w14:paraId="36FF2192" w14:textId="08CF4B04" w:rsidR="0007556F" w:rsidRPr="00DD4E1D" w:rsidRDefault="00DF42DC" w:rsidP="0007556F">
      <w:pPr>
        <w:pStyle w:val="TTPAddress"/>
      </w:pPr>
      <w:bookmarkStart w:id="0" w:name="OLE_LINK1"/>
      <w:r>
        <w:rPr>
          <w:rFonts w:hint="eastAsia"/>
          <w:lang w:eastAsia="zh-CN"/>
        </w:rPr>
        <w:t>*</w:t>
      </w:r>
      <w:r>
        <w:t xml:space="preserve"> </w:t>
      </w:r>
      <w:r w:rsidRPr="00DF42DC">
        <w:t>Corresponding Author Email</w:t>
      </w:r>
      <w:r>
        <w:t>:</w:t>
      </w:r>
      <w:r w:rsidRPr="00DF42DC">
        <w:t xml:space="preserve"> </w:t>
      </w:r>
      <w:bookmarkEnd w:id="0"/>
      <w:r w:rsidR="00D9022D" w:rsidRPr="00D9022D">
        <w:rPr>
          <w:lang w:val="de-DE"/>
        </w:rPr>
        <w:t>xuyanyanzxz@163.com</w:t>
      </w:r>
    </w:p>
    <w:p w14:paraId="74B7BDCB" w14:textId="58D19EFC" w:rsidR="0007556F" w:rsidRPr="005620CC" w:rsidRDefault="0007556F" w:rsidP="0007556F">
      <w:pPr>
        <w:pStyle w:val="TTPAbstract"/>
        <w:spacing w:before="180"/>
        <w:rPr>
          <w:rFonts w:ascii="Arial" w:hAnsi="Arial" w:cs="Arial"/>
          <w:sz w:val="22"/>
        </w:rPr>
      </w:pPr>
      <w:r w:rsidRPr="005620CC">
        <w:rPr>
          <w:rFonts w:ascii="Arial" w:hAnsi="Arial" w:cs="Arial"/>
          <w:b/>
          <w:sz w:val="22"/>
        </w:rPr>
        <w:t xml:space="preserve">Abstract. </w:t>
      </w:r>
      <w:r w:rsidR="00D9022D" w:rsidRPr="00D9022D">
        <w:rPr>
          <w:rFonts w:ascii="Arial" w:hAnsi="Arial" w:cs="Arial"/>
          <w:sz w:val="22"/>
          <w:lang w:val="de-DE"/>
        </w:rPr>
        <w:t>In the context of the global transition towards new energy vehicles, the thermal management of battery packs has become a critical technical challenge, particularly under fast-charging and extreme operating conditions. This study aims to address the thermal runaway risks associated with battery packs by developing a refined thermal management system model based on multi-physics coupling simulation technology. A three-dimensional geometric model incorporating battery cells, thermal interface materials, and cooling plates was constructed using CT scanning data to accurately represent the internal structure of the battery module. Through fluid-solid-thermal coupling simulations conducted with STAR-CCM+ software, the temperature distribution and heat dissipation patterns within the battery pack were analyzed under varying coolant flow rates and environmental temperatures. Furthermore, an optimization of the cooling plate channel structure was performed employing the particle swarm optimization algorithm, leading to the proposal of a dynamic thermal control strategy. The simulation results demonstrate that the optimized thermal management system effectively reduces the maximum temperature during fast charging and maintains a minimal temperature difference across the battery pack. These findings provide a reliable simulation basis for the engineering design of battery thermal management systems in new energy vehicles, contributing to enhanced safety and performance.</w:t>
      </w:r>
    </w:p>
    <w:p w14:paraId="16DC6C68" w14:textId="7E053825" w:rsidR="005E70BE" w:rsidRPr="00711E3B" w:rsidRDefault="0007556F" w:rsidP="00711E3B">
      <w:pPr>
        <w:pStyle w:val="TTPKeywords"/>
        <w:spacing w:before="180"/>
        <w:rPr>
          <w:b/>
          <w:bCs/>
          <w:i/>
          <w:iCs/>
          <w:color w:val="FF0000"/>
          <w:lang w:eastAsia="zh-CN"/>
        </w:rPr>
      </w:pPr>
      <w:r w:rsidRPr="00DD4E1D">
        <w:rPr>
          <w:b/>
          <w:bCs/>
        </w:rPr>
        <w:t>Keywords:</w:t>
      </w:r>
      <w:r w:rsidRPr="00DD4E1D">
        <w:t xml:space="preserve"> </w:t>
      </w:r>
      <w:r w:rsidR="00D9022D" w:rsidRPr="00D9022D">
        <w:rPr>
          <w:lang w:val="de-DE"/>
        </w:rPr>
        <w:t>New Energy Vehicle; Battery Pack; Thermal Management System; Multi-Physics Coupling Simulation; Particle Swarm Optimization; Thermal Control Strategy</w:t>
      </w:r>
      <w:r w:rsidR="00D9022D">
        <w:rPr>
          <w:rFonts w:hint="eastAsia"/>
          <w:lang w:val="de-DE" w:eastAsia="zh-CN"/>
        </w:rPr>
        <w:t>.</w:t>
      </w:r>
    </w:p>
    <w:p w14:paraId="191CF271" w14:textId="77777777" w:rsidR="00D9022D" w:rsidRPr="00D9022D" w:rsidRDefault="00D9022D" w:rsidP="00D9022D">
      <w:pPr>
        <w:pStyle w:val="1"/>
        <w:numPr>
          <w:ilvl w:val="0"/>
          <w:numId w:val="9"/>
        </w:numPr>
        <w:ind w:left="420" w:hanging="420"/>
      </w:pPr>
      <w:r w:rsidRPr="00D9022D">
        <w:t>Background</w:t>
      </w:r>
    </w:p>
    <w:p w14:paraId="22B3789C" w14:textId="77777777" w:rsidR="00E3640D" w:rsidRDefault="00E3640D" w:rsidP="00E3640D">
      <w:pPr>
        <w:pStyle w:val="TTPParagraphothers"/>
      </w:pPr>
      <w:r>
        <w:t>The global automotive industry is undergoing a profound transformation, shifting from traditional internal combustion engines towards new energy vehicles (NEVs). This transition, driven by the dual imperatives of environmental sustainability and energy security, places the electric powertrain at the forefront of technological development. Within this context, the lithium-ion battery pack serves as the core energy storage component, whose performance, safety, and longevity are paramount. However, the electrochemical processes within battery cells inherently generate heat during operation. Under demanding conditions such as fast charging or high-load driving, this heat generation intensifies, posing a significant technical challenge for thermal management.</w:t>
      </w:r>
    </w:p>
    <w:p w14:paraId="5A26BEA7" w14:textId="77777777" w:rsidR="00E3640D" w:rsidRDefault="00E3640D" w:rsidP="00E3640D">
      <w:pPr>
        <w:pStyle w:val="TTPParagraphothers"/>
      </w:pPr>
      <w:r>
        <w:t>Effective thermal management is not merely a performance enhancer but a critical safety requirement. Inadequate heat dissipation can lead to elevated temperatures within the battery pack. This causes accelerated capacity degradation, reduces cycle life, and critically increases the risk of thermal runaway—a dangerous chain reaction that can result in fire or explosion. Furthermore, significant temperature differences between individual cells or modules can lead to inconsistent performance and accelerated aging of the entire pack. Therefore, developing a reliable and efficient thermal management system (TMS) is fundamental to ensuring the safety, durability, and reliable operation of NEVs, directly impacting consumer confidence and market adoption.</w:t>
      </w:r>
    </w:p>
    <w:p w14:paraId="1B6CFF89" w14:textId="77777777" w:rsidR="00E3640D" w:rsidRDefault="00E3640D" w:rsidP="00E3640D">
      <w:pPr>
        <w:pStyle w:val="TTPParagraphothers"/>
      </w:pPr>
      <w:r>
        <w:t xml:space="preserve">The significance of this research lies in addressing these pressing challenges through advanced simulation methodologies. Traditional experimental approaches for TMS design are often costly, time-consuming, and limited in their ability to probe internal thermal behaviors non-invasively. Computational modeling and simulation offer a powerful alternative, enabling detailed analysis of temperature distribution, fluid flow, and heat transfer within complex battery pack geometries. By constructing a refined three-dimensional model based on actual internal structures and employing </w:t>
      </w:r>
      <w:r>
        <w:lastRenderedPageBreak/>
        <w:t>multi-physics coupling simulation techniques, this study aims to achieve a high-fidelity virtual representation of the thermal management system. This approach allows for systematic investigation of thermal performance under various operating scenarios, facilitating the identification of thermal bottlenecks and optimization opportunities before physical prototyping.</w:t>
      </w:r>
    </w:p>
    <w:p w14:paraId="274330AD" w14:textId="6A22AF79" w:rsidR="00D9022D" w:rsidRPr="00D9022D" w:rsidRDefault="00E3640D" w:rsidP="00E3640D">
      <w:pPr>
        <w:pStyle w:val="TTPParagraphothers"/>
      </w:pPr>
      <w:r>
        <w:t>The primary objective of this study is to develop and optimize a thermal management system model for a NEV battery pack to mitigate thermal risks under extreme operating conditions. This involves several specific aims. First, a detailed three-dimensional geometric model of a battery module, incorporating cells, thermal interface materials, and cooling plates, will be established using accurate structural data. Second, fluid-solid-thermal coupling simulations will be conducted to analyze the temperature distribution and heat dissipation patterns under different coolant flow rates and environmental temperatures. Third, based on the simulation findings, the cooling plate's channel structure will be optimized using an intelligent algorithm to enhance cooling efficiency and temperature uniformity. Finally, a dynamic thermal control strategy will be proposed to intelligently regulate the system based on real-time thermal loads. The outcomes of this research are expected to provide a reliable simulation basis and practical guidance for the engineering design of battery thermal management systems, contributing to enhanced safety and performance of new energy vehicles.</w:t>
      </w:r>
      <w:r>
        <w:rPr>
          <w:rFonts w:hint="eastAsia"/>
          <w:lang w:eastAsia="zh-CN"/>
        </w:rPr>
        <w:t xml:space="preserve"> a</w:t>
      </w:r>
      <w:r>
        <w:t>s shown in Figure 1.</w:t>
      </w:r>
    </w:p>
    <w:p w14:paraId="57AF186A" w14:textId="3DDC629B" w:rsidR="00D9022D" w:rsidRPr="00711E3B" w:rsidRDefault="00711E3B" w:rsidP="00711E3B">
      <w:pPr>
        <w:pStyle w:val="TTPParagraphothers"/>
        <w:spacing w:before="120"/>
        <w:ind w:firstLine="0"/>
        <w:jc w:val="center"/>
        <w:rPr>
          <w:noProof/>
          <w:szCs w:val="20"/>
        </w:rPr>
      </w:pPr>
      <w:r>
        <w:rPr>
          <w:noProof/>
        </w:rPr>
        <w:drawing>
          <wp:inline distT="0" distB="0" distL="0" distR="0" wp14:anchorId="4ABFA561" wp14:editId="519A9FB2">
            <wp:extent cx="3433314" cy="2519924"/>
            <wp:effectExtent l="0" t="0" r="0" b="0"/>
            <wp:docPr id="9472988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98820" name=""/>
                    <pic:cNvPicPr/>
                  </pic:nvPicPr>
                  <pic:blipFill>
                    <a:blip r:embed="rId8"/>
                    <a:stretch>
                      <a:fillRect/>
                    </a:stretch>
                  </pic:blipFill>
                  <pic:spPr>
                    <a:xfrm>
                      <a:off x="0" y="0"/>
                      <a:ext cx="3456951" cy="2537273"/>
                    </a:xfrm>
                    <a:prstGeom prst="rect">
                      <a:avLst/>
                    </a:prstGeom>
                  </pic:spPr>
                </pic:pic>
              </a:graphicData>
            </a:graphic>
          </wp:inline>
        </w:drawing>
      </w:r>
    </w:p>
    <w:p w14:paraId="3FF7513C" w14:textId="663E6E34" w:rsidR="00D9022D" w:rsidRPr="00D9022D" w:rsidRDefault="00D9022D" w:rsidP="00711E3B">
      <w:pPr>
        <w:pStyle w:val="Figure"/>
        <w:spacing w:line="240" w:lineRule="auto"/>
        <w:rPr>
          <w:sz w:val="24"/>
          <w:szCs w:val="24"/>
          <w:lang w:eastAsia="zh-CN"/>
        </w:rPr>
      </w:pPr>
      <w:r w:rsidRPr="00711E3B">
        <w:rPr>
          <w:b/>
          <w:sz w:val="24"/>
        </w:rPr>
        <w:t xml:space="preserve">Figure 1. </w:t>
      </w:r>
      <w:r w:rsidRPr="00D9022D">
        <w:rPr>
          <w:sz w:val="24"/>
          <w:szCs w:val="24"/>
        </w:rPr>
        <w:t>Core Research Workflow Overview</w:t>
      </w:r>
      <w:r w:rsidRPr="00D9022D">
        <w:rPr>
          <w:sz w:val="24"/>
          <w:szCs w:val="24"/>
          <w:lang w:eastAsia="zh-CN"/>
        </w:rPr>
        <w:t>.</w:t>
      </w:r>
    </w:p>
    <w:p w14:paraId="0DF43B33" w14:textId="60316FA4" w:rsidR="00D9022D" w:rsidRPr="00D9022D" w:rsidRDefault="00D9022D" w:rsidP="00D9022D">
      <w:pPr>
        <w:pStyle w:val="1"/>
        <w:numPr>
          <w:ilvl w:val="0"/>
          <w:numId w:val="9"/>
        </w:numPr>
        <w:ind w:left="420" w:hanging="420"/>
      </w:pPr>
      <w:r w:rsidRPr="00D9022D">
        <w:t>Theoretical Foundation and Literature Review of Battery Thermal Management</w:t>
      </w:r>
    </w:p>
    <w:p w14:paraId="6D8FC32E" w14:textId="37EBA610" w:rsidR="00D9022D" w:rsidRPr="00711E3B" w:rsidRDefault="00D9022D" w:rsidP="00711E3B">
      <w:pPr>
        <w:pStyle w:val="2"/>
        <w:numPr>
          <w:ilvl w:val="1"/>
          <w:numId w:val="9"/>
        </w:numPr>
        <w:ind w:left="420" w:hanging="420"/>
      </w:pPr>
      <w:r w:rsidRPr="00711E3B">
        <w:t>Fundamentals of Battery Electrochemical-Thermal Coupling and Heat Generation</w:t>
      </w:r>
      <w:r w:rsidRPr="00D9022D">
        <w:rPr>
          <w:rFonts w:cs="Times New Roman"/>
          <w:szCs w:val="24"/>
        </w:rPr>
        <w:t xml:space="preserve"> </w:t>
      </w:r>
      <w:r w:rsidRPr="00711E3B">
        <w:t>Mechanisms</w:t>
      </w:r>
    </w:p>
    <w:p w14:paraId="6CD8EF0E" w14:textId="77777777" w:rsidR="00E3640D" w:rsidRDefault="00E3640D" w:rsidP="00E3640D">
      <w:pPr>
        <w:pStyle w:val="TTPParagraphothers"/>
      </w:pPr>
      <w:r>
        <w:t>The safe and efficient operation of lithium-ion batteries, the core of new energy vehicles, is fundamentally governed by the interplay between electrochemical reactions and thermal behavior. During charging and discharging, electrical energy is converted to chemical energy and vice versa through complex reactions to the electrodes. These processes are not perfectly efficient and inherently generate heat, a phenomenon known as electrochemical-thermal coupling. Understanding this coupling and the precise mechanisms of heat generation is the essential foundation for designing any effective thermal management system [1].</w:t>
      </w:r>
    </w:p>
    <w:p w14:paraId="5957CF71" w14:textId="77777777" w:rsidR="00E3640D" w:rsidRDefault="00E3640D" w:rsidP="00E3640D">
      <w:pPr>
        <w:pStyle w:val="TTPParagraphothers"/>
      </w:pPr>
      <w:r>
        <w:t xml:space="preserve">The primary sources of heat within a battery cell can be categorized. Ohmic heat, also called Joule heat, is generated due to the internal resistance of the cell's components, including the electrodes, electrolyte, and current collectors. As current flows, this resistance causes energy loss in the form of heat, proportional to the square of the current. Therefore, during high-current operations like fast charging, ohmic heating becomes significantly more pronounced. Another major contributor is </w:t>
      </w:r>
      <w:r>
        <w:lastRenderedPageBreak/>
        <w:t>reaction heat, associated with the entropy changes of the electrochemical reactions at the electrode interfaces. This heat can be either exothermic or endothermic depending on the state of charge and the direction of the reaction. Additionally, polarization heat arises from the overpotential required to drive the electrochemical reactions, reflecting kinetic limitations at the electrodes. The total heat generation rate is the sum of these components, and it varies dynamically with operating current, state of charge, temperature, and the battery's aging state.</w:t>
      </w:r>
    </w:p>
    <w:p w14:paraId="18BDF67F" w14:textId="77777777" w:rsidR="00E3640D" w:rsidRDefault="00E3640D" w:rsidP="00E3640D">
      <w:pPr>
        <w:pStyle w:val="TTPParagraphothers"/>
      </w:pPr>
      <w:r>
        <w:t>The relationship between heat generation and temperature is bidirectional, creating a critical feedback loop. The rate of the electrochemical reactions themselves, and consequently the heat they produce, is highly sensitive to temperature. Elevated temperatures can accelerate reaction kinetics, potentially increasing heat generation further in a self-reinforcing cycle if the heat is not adequately dissipated. Conversely, excessively low temperatures increase internal resistance, leading to higher ohmic losses and reduced power capability. This intrinsic coupling means that temperature is not merely an output of battery operation but a key state variable that actively influences electrical performance, safety, and longevity. As noted in prior research, "elevated temperatures in EV batteries primarily result from thermal instability during various operating, traveling, and charging conditions" [2]. Managing this instability requires a model that captures this two-way interaction.</w:t>
      </w:r>
    </w:p>
    <w:p w14:paraId="00A2AF97" w14:textId="4AA634D0" w:rsidR="00D9022D" w:rsidRPr="00D9022D" w:rsidRDefault="00E3640D" w:rsidP="00E3640D">
      <w:pPr>
        <w:pStyle w:val="TTPParagraphothers"/>
      </w:pPr>
      <w:r>
        <w:t>For the purpose of thermal management system design and simulation, this complex internal electrochemistry is often abstracted into a manageable thermal model. A common and effective approach is to treat the battery cell as a volumetric heat source with properties that represent the average behavior of its internal components. The heat generation rate calculated from an equivalent circuit model or empirical data is applied uniformly or in a layered structure within the cell's geometry in a simulation. This simplification allows engineers to focus on the system-level challenge of heat removal and temperature uniformity without modeling every microscopic detail, while still accounting for the fundamental coupling principle. The accuracy of such models depends heavily on obtaining reliable temperature-dependent material properties for the cell, as these parameters dictate how heat is conducted from the source to the surfaces where cooling is applied. This foundational understanding directly informs the subsequent development of the three-dimensional multi-physics model and the optimization strategies explored in this study.</w:t>
      </w:r>
    </w:p>
    <w:p w14:paraId="7C36E8E7" w14:textId="5043FEA0" w:rsidR="00D9022D" w:rsidRPr="00711E3B" w:rsidRDefault="00D9022D" w:rsidP="00711E3B">
      <w:pPr>
        <w:pStyle w:val="2"/>
        <w:numPr>
          <w:ilvl w:val="1"/>
          <w:numId w:val="9"/>
        </w:numPr>
        <w:ind w:left="420" w:hanging="420"/>
      </w:pPr>
      <w:r w:rsidRPr="00711E3B">
        <w:t>Review of Advanced Thermal Management Technologies and Multi-Physics Field</w:t>
      </w:r>
      <w:r w:rsidRPr="00D9022D">
        <w:rPr>
          <w:rFonts w:cs="Times New Roman"/>
          <w:szCs w:val="24"/>
        </w:rPr>
        <w:t xml:space="preserve"> </w:t>
      </w:r>
      <w:r w:rsidRPr="00711E3B">
        <w:t>Simulation Methods</w:t>
      </w:r>
    </w:p>
    <w:p w14:paraId="59D80782" w14:textId="77777777" w:rsidR="00E3640D" w:rsidRDefault="00E3640D" w:rsidP="00E3640D">
      <w:pPr>
        <w:pStyle w:val="TTPParagraphothers"/>
      </w:pPr>
      <w:r>
        <w:t>Building upon the fundamental electrochemical-thermal principles, the development of effective battery thermal management systems (BTMS) hinges on the selection of appropriate cooling technologies and the application of sophisticated simulation tools to analyze and optimize their performance. Among the mainstream cooling methods, liquid cooling has established itself as a dominant solution for high-performance applications, particularly for new energy vehicles requiring fast charging capabilities and operation under extreme conditions [3]. This technology's prevalence is due to its superior heat transfer coefficient compared to air cooling, enabling more precise temperature control and enhanced temperature uniformity across the battery pack. Liquid cooling systems typically circulate a coolant, such as a water-glycol mixture, through channels embedded in or attached to cooling plates that are in thermal contact with the battery cells. The efficiency of such a system is critically dependent on the design of the cooling plate's internal flow channels, which dictates the flow distribution, pressure drop, and ultimately, the heat extraction rate from each cell. As noted in prior research, sensitivity parameter analysis and the structural optimization of the cooling system are essential steps in the design process [4].</w:t>
      </w:r>
    </w:p>
    <w:p w14:paraId="4FA4F02D" w14:textId="77777777" w:rsidR="00E3640D" w:rsidRDefault="00E3640D" w:rsidP="00E3640D">
      <w:pPr>
        <w:pStyle w:val="TTPParagraphothers"/>
      </w:pPr>
      <w:r>
        <w:t xml:space="preserve">The complexity of a battery pack, comprising numerous cells, thermal interface materials, and complex fluid paths, necessitates a multi-physics field simulation approach to accurately predict its thermal behavior. This involves the coupled analysis of fluid dynamics, solid heat conduction, and thermal interactions. Advanced commercial software like STAR-CCM+ and ANSYS Fluent are widely employed for such three-dimensional computational fluid dynamics (CFD) simulations. These tools allow engineers to construct a detailed virtual prototype of the battery module, including its </w:t>
      </w:r>
      <w:r>
        <w:lastRenderedPageBreak/>
        <w:t>geometric intricacies derived from sources like CT scan data. Through fluid-solid-thermal coupling simulations, the temperature distribution within the pack can be visualized under various operating scenarios, such as different coolant flow rates and ambient temperatures. This process helps identify potential hotspots, assess the effectiveness of the cooling strategy, and evaluate the temperature gradient between cells—a key factor influencing battery lifespan and safety. For instance, studies have utilized COMSOL Multiphysics to simulate and analyze cooling systems, providing insights into thermal performance [5].</w:t>
      </w:r>
    </w:p>
    <w:p w14:paraId="059EC20C" w14:textId="77777777" w:rsidR="00E3640D" w:rsidRDefault="00E3640D" w:rsidP="00E3640D">
      <w:pPr>
        <w:pStyle w:val="TTPParagraphothers"/>
      </w:pPr>
      <w:r>
        <w:t>The simulation workflow itself has evolved from isolated component analysis to a more integrated, system-level perspective. While 3D CFD provides high-fidelity local details of the flow and temperature fields, it can be computationally expensive for exploring numerous design variants or dynamic control strategies. Therefore, it is often coupled with one-dimensional system simulation platforms or surrogate modeling techniques. The Kriging method, for example, has been used to construct approximate models for optimizing battery cooling systems, improving the efficiency of the design exploration process [4]. This multi-scale and multi-tool approach enables a comprehensive evaluation, balancing simulation accuracy with computational cost. The ultimate goal is not only to ensure the maximum temperature remains within a safe limit but also to minimize the temperature difference across the pack, thereby reducing stress and degradation.</w:t>
      </w:r>
    </w:p>
    <w:p w14:paraId="7D2E25E4" w14:textId="3686F5B7" w:rsidR="00D9022D" w:rsidRPr="00D9022D" w:rsidRDefault="00E3640D" w:rsidP="00E3640D">
      <w:pPr>
        <w:pStyle w:val="TTPParagraphothers"/>
      </w:pPr>
      <w:r>
        <w:t>Looking towards the future, the integration of intelligent optimization algorithms with multi-physics simulation represents a significant advancement. Particle swarm optimization (PSO) and other algorithms can be employed to automatically search for optimal design parameters, such as the geometry of cooling channels, by iteratively running simulations and evaluating performance objectives like maximum temperature and temperature uniformity. This data-driven optimization moves beyond trial-and-error, leading to more efficient thermal management system designs. Furthermore, the concept of dynamic thermal control is gaining traction, where the cooling intensity is adjusted in real-time based on the battery's thermal load, as inferred from operating conditions. This aligns with broader trends towards intelligent battery management systems that leverage digital modeling for real-time state estimation and control [5]. The continuous refinement of these simulation methodologies and their integration with optimization and control algorithms provide a powerful toolkit for developing the next generation of safe, efficient, and reliable battery thermal management systems for new energy vehicles.</w:t>
      </w:r>
    </w:p>
    <w:p w14:paraId="6E709728" w14:textId="2892FA76" w:rsidR="00D9022D" w:rsidRPr="00D9022D" w:rsidRDefault="00D9022D" w:rsidP="00D9022D">
      <w:pPr>
        <w:pStyle w:val="1"/>
        <w:numPr>
          <w:ilvl w:val="0"/>
          <w:numId w:val="9"/>
        </w:numPr>
        <w:ind w:left="420" w:hanging="420"/>
      </w:pPr>
      <w:r w:rsidRPr="00D9022D">
        <w:t>Modeling, Simulation, and Optimization of the Battery Pack Thermal Management System</w:t>
      </w:r>
    </w:p>
    <w:p w14:paraId="7063D922" w14:textId="21762698" w:rsidR="00D9022D" w:rsidRPr="00711E3B" w:rsidRDefault="00D9022D" w:rsidP="00711E3B">
      <w:pPr>
        <w:pStyle w:val="2"/>
        <w:numPr>
          <w:ilvl w:val="1"/>
          <w:numId w:val="9"/>
        </w:numPr>
        <w:ind w:left="420" w:hanging="420"/>
      </w:pPr>
      <w:r w:rsidRPr="00711E3B">
        <w:t>Development of a High-Fidelity 3D Geometric Model and Multi-Physics Coupling</w:t>
      </w:r>
      <w:r w:rsidRPr="00D9022D">
        <w:rPr>
          <w:rFonts w:cs="Times New Roman"/>
          <w:szCs w:val="24"/>
        </w:rPr>
        <w:t xml:space="preserve"> </w:t>
      </w:r>
      <w:r w:rsidRPr="00711E3B">
        <w:t>Simulation Framework</w:t>
      </w:r>
    </w:p>
    <w:p w14:paraId="2BE6DEA3" w14:textId="77777777" w:rsidR="00E3640D" w:rsidRDefault="00E3640D" w:rsidP="00E3640D">
      <w:pPr>
        <w:pStyle w:val="TTPParagraphothers"/>
      </w:pPr>
      <w:r>
        <w:t>To accurately capture the thermal behavior of a new energy vehicle battery pack under demanding conditions, such as fast charging, the foundation of any reliable analysis is a high-fidelity geometric model. This study constructs a detailed three-dimensional representation of the battery module, which serves as the digital twin for subsequent multi-physics simulations. The geometric model is developed based on the physical structure of a commercial battery module. Key internal components are explicitly included: the individual lithium-ion battery cells, the thermal interface materials (TIMs) placed between cells and cooling plates to reduce contact resistance, and the liquid cooling plates themselves. This approach ensures that the model faithfully represents the actual heat transfer paths and physical interfaces within the pack [6].</w:t>
      </w:r>
    </w:p>
    <w:p w14:paraId="52F7E928" w14:textId="77777777" w:rsidR="00E3640D" w:rsidRDefault="00E3640D" w:rsidP="00E3640D">
      <w:pPr>
        <w:pStyle w:val="TTPParagraphothers"/>
      </w:pPr>
      <w:r>
        <w:t xml:space="preserve">The model development process leverages advanced digitalization techniques. Computed Tomography (CT) scanning is employed to obtain precise, non-destructive data of the battery module's internal arrangement. This data is crucial for creating an accurate CAD model that reflects real-world geometries, including potential manufacturing variances and assembly clearances. The resulting 3D model forms the basis for meshing, where the computational domain is discretized into millions of small control volumes. Special attention is paid to the mesh quality in critical regions, </w:t>
      </w:r>
      <w:r>
        <w:lastRenderedPageBreak/>
        <w:t>such as the thin TIM layers and the complex internal channels of the cooling plates, to ensure simulation accuracy without prohibitive computational cost.[7]</w:t>
      </w:r>
    </w:p>
    <w:p w14:paraId="0BB88A7C" w14:textId="77777777" w:rsidR="00E3640D" w:rsidRDefault="00E3640D" w:rsidP="00E3640D">
      <w:pPr>
        <w:pStyle w:val="TTPParagraphothers"/>
      </w:pPr>
      <w:r>
        <w:t>With the geometric model established, the core of the analysis framework is the multi-physics coupling simulation. This study utilizes the commercial software STAR-CCM+ to perform coupled fluid-solid-thermal simulations. The framework simultaneously solves the governing equations for fluid flow, heat conduction in solids, and the convective heat transfer between them. The battery cells are modeled as volumetric heat sources, with their heat generation rates defined based on the electrochemical-thermal principles discussed in earlier chapters, particularly relevant for high-current fast-charging scenarios. The coolant, typically a water-glycol mixture, flows through the channels in the cooling plates, and its properties are defined as temperature-dependent to reflect real fluid behavior.</w:t>
      </w:r>
    </w:p>
    <w:p w14:paraId="007FB47A" w14:textId="41A5808D" w:rsidR="00D9022D" w:rsidRPr="00D9022D" w:rsidRDefault="00E3640D" w:rsidP="00E3640D">
      <w:pPr>
        <w:pStyle w:val="TTPParagraphothers"/>
      </w:pPr>
      <w:r>
        <w:t>The coupling mechanism is central to the simulation's realism. At the solid-fluid interfaces, such as the contact surface between the cooling plate and the TIM, the software ensures energy conservation by matching the heat flux from the solid side with the convective heat transfer on the fluid side. This integrated approach allows for the direct analysis of how coolant flow parameters—such as inlet temperature and flow rate—influence the temperature distribution across the entire battery pack. The simulation outputs detailed contour plots of temperature, revealing potential hotspots and the overall temperature uniformity. This high-fidelity, physics-based framework provides a virtual testbed for evaluating the thermal management system's performance under various operational and environmental conditions, forming the essential precursor to the optimization work detailed in subsequent sections.</w:t>
      </w:r>
    </w:p>
    <w:p w14:paraId="3E3B681D" w14:textId="44CB2E52" w:rsidR="00D9022D" w:rsidRPr="00711E3B" w:rsidRDefault="00D9022D" w:rsidP="00711E3B">
      <w:pPr>
        <w:pStyle w:val="2"/>
        <w:numPr>
          <w:ilvl w:val="1"/>
          <w:numId w:val="9"/>
        </w:numPr>
        <w:ind w:left="420" w:hanging="420"/>
      </w:pPr>
      <w:r w:rsidRPr="00711E3B">
        <w:t>Performance Analysis under Extreme Conditions and PSO-Based Optimization of</w:t>
      </w:r>
      <w:r w:rsidRPr="00D9022D">
        <w:rPr>
          <w:rFonts w:cs="Times New Roman"/>
          <w:szCs w:val="24"/>
        </w:rPr>
        <w:t xml:space="preserve"> </w:t>
      </w:r>
      <w:r w:rsidRPr="00711E3B">
        <w:t>Cooling Plate Structure</w:t>
      </w:r>
    </w:p>
    <w:p w14:paraId="15C4ED2B" w14:textId="77777777" w:rsidR="00E3640D" w:rsidRDefault="00E3640D" w:rsidP="00E3640D">
      <w:pPr>
        <w:pStyle w:val="TTPParagraphothers"/>
      </w:pPr>
      <w:r>
        <w:t>Based on the established high-fidelity multi-physics simulation framework, the thermal performance of the battery pack under extreme operating conditions is systematically evaluated. These conditions include high-rate fast charging scenarios and elevated environmental temperatures, which significantly increase the thermal load and pose a greater challenge to the cooling system's effectiveness. The simulation results from STAR-CCM+ provide detailed insights into the temperature distribution and heat dissipation patterns. Under high thermal loads, the initial cooling plate design may lead to the formation of localized hotspots and a significant temperature gradient across the battery module. This non-uniform temperature field can accelerate battery degradation and compromise safety. The analysis identifies that the flow distribution within the cooling channels and the convective heat transfer efficiency are critical factors influencing the maximum temperature and temperature uniformity.</w:t>
      </w:r>
    </w:p>
    <w:p w14:paraId="3ECB4909" w14:textId="77777777" w:rsidR="00E3640D" w:rsidRDefault="00E3640D" w:rsidP="00E3640D">
      <w:pPr>
        <w:pStyle w:val="TTPParagraphothers"/>
      </w:pPr>
      <w:r>
        <w:t>To address these identified thermal management challenges, an optimization of the cooling plate's internal flow channel structure is conducted. This study employs the Particle Swarm Optimization (PSO) algorithm, a population-based stochastic optimization technique inspired by the social behavior of bird flocking or fish schooling. The PSO algorithm is chosen for its effectiveness in navigating complex, multi-dimensional design spaces to find optimal solutions. In this application, key geometric parameters of the cooling channels, such as their width, depth, bifurcation angles, and layout pattern, are defined as the design variables. The optimization objectives are set to minimize two key performance indicators: the maximum temperature of the battery pack during a simulated fast-charging cycle and the maximum temperature difference between any two points within the pack. A lower maximum temperature directly enhances safety, while a minimized temperature difference reduces thermal stress and promotes balanced aging among cells.</w:t>
      </w:r>
    </w:p>
    <w:p w14:paraId="17BDC3E0" w14:textId="77777777" w:rsidR="00E3640D" w:rsidRDefault="00E3640D" w:rsidP="00E3640D">
      <w:pPr>
        <w:pStyle w:val="TTPParagraphothers"/>
      </w:pPr>
      <w:r>
        <w:t xml:space="preserve">The optimization process is integrated with the simulation framework. For each candidate design generated by the PSO algorithm, a corresponding fluid-solid-thermal coupling simulation is automatically executed. The simulation results for the maximum temperature and temperature difference are fed back to the PSO algorithm as fitness values. The algorithm then iteratively updates the positions (i.e., design parameters) of the particle swarm, guiding the search toward designs that </w:t>
      </w:r>
      <w:r>
        <w:lastRenderedPageBreak/>
        <w:t>yield better thermal performance. This data-driven, automated optimization loop moves beyond traditional trial-and-error methods, efficiently exploring a wide range of possible channel geometries. The process continues until convergence criteria are met, resulting in an optimized cooling plate structure that offers a superior balance between cooling capacity and flow resistance.</w:t>
      </w:r>
    </w:p>
    <w:p w14:paraId="5A486680" w14:textId="050B1616" w:rsidR="00D9022D" w:rsidRDefault="00E3640D" w:rsidP="00E3640D">
      <w:pPr>
        <w:pStyle w:val="TTPParagraphothers"/>
      </w:pPr>
      <w:r>
        <w:t>The performance of the optimized design is then validated through simulation under the same extreme conditions. As shown in Figure 2. The results demonstrate a clear improvement. The optimized cooling plate structure promotes more uniform coolant flow and enhances heat extraction efficiency. Consequently, the maximum temperature within the battery pack during fast charging is significantly reduced. More importantly, the temperature uniformity is greatly improved, with the maximum temperature difference across the pack being effectively controlled within a very narrow range. This outcome confirms that structural optimization of the cooling component is a highly effective strategy for enhancing the thermal management system's capability to handle extreme thermal loads, thereby improving the overall safety and longevity of the battery system [2].</w:t>
      </w:r>
      <w:r w:rsidRPr="00E3640D">
        <w:rPr>
          <w:lang w:val="de-DE"/>
        </w:rPr>
        <w:t xml:space="preserve"> as shown in Table 1.</w:t>
      </w:r>
    </w:p>
    <w:p w14:paraId="2BA92C29" w14:textId="070AE580" w:rsidR="00711E3B" w:rsidRPr="00D9022D" w:rsidRDefault="00E3640D" w:rsidP="00711E3B">
      <w:pPr>
        <w:pStyle w:val="Figure"/>
        <w:spacing w:line="240" w:lineRule="auto"/>
        <w:rPr>
          <w:sz w:val="24"/>
          <w:szCs w:val="24"/>
          <w:lang w:eastAsia="zh-CN"/>
        </w:rPr>
      </w:pPr>
      <w:r w:rsidRPr="00E3640D">
        <w:rPr>
          <w:rFonts w:hint="eastAsia"/>
          <w:b/>
          <w:bCs/>
          <w:sz w:val="24"/>
          <w:szCs w:val="24"/>
          <w:lang w:val="de-DE"/>
        </w:rPr>
        <w:t>Table</w:t>
      </w:r>
      <w:r w:rsidRPr="00E3640D">
        <w:rPr>
          <w:rFonts w:hint="eastAsia"/>
          <w:b/>
          <w:bCs/>
          <w:sz w:val="24"/>
          <w:szCs w:val="24"/>
          <w:lang w:val="de-DE" w:eastAsia="zh-CN"/>
        </w:rPr>
        <w:t xml:space="preserve"> </w:t>
      </w:r>
      <w:r w:rsidRPr="00E3640D">
        <w:rPr>
          <w:rFonts w:hint="eastAsia"/>
          <w:b/>
          <w:bCs/>
          <w:sz w:val="24"/>
          <w:szCs w:val="24"/>
          <w:lang w:val="de-DE"/>
        </w:rPr>
        <w:t>1</w:t>
      </w:r>
      <w:r w:rsidRPr="00E3640D">
        <w:rPr>
          <w:rFonts w:hint="eastAsia"/>
          <w:b/>
          <w:bCs/>
          <w:sz w:val="24"/>
          <w:szCs w:val="24"/>
          <w:lang w:val="de-DE" w:eastAsia="zh-CN"/>
        </w:rPr>
        <w:t>.</w:t>
      </w:r>
      <w:r w:rsidRPr="00E3640D">
        <w:rPr>
          <w:rFonts w:hint="eastAsia"/>
          <w:b/>
          <w:bCs/>
          <w:sz w:val="24"/>
          <w:szCs w:val="24"/>
          <w:lang w:val="de-DE"/>
        </w:rPr>
        <w:t xml:space="preserve"> </w:t>
      </w:r>
      <w:r w:rsidRPr="00E3640D">
        <w:rPr>
          <w:rFonts w:hint="eastAsia"/>
          <w:sz w:val="24"/>
          <w:szCs w:val="24"/>
          <w:lang w:val="de-DE"/>
        </w:rPr>
        <w:t>Performance Indicators Comparison: Original vs. PSO-Optimized Design (Fast-Charging)</w:t>
      </w:r>
      <w:r>
        <w:rPr>
          <w:rFonts w:hint="eastAsia"/>
          <w:sz w:val="24"/>
          <w:szCs w:val="24"/>
          <w:lang w:val="de-DE" w:eastAsia="zh-CN"/>
        </w:rPr>
        <w:t>.</w:t>
      </w:r>
    </w:p>
    <w:tbl>
      <w:tblPr>
        <w:tblW w:w="9467" w:type="dxa"/>
        <w:jc w:val="center"/>
        <w:tblCellSpacing w:w="0" w:type="dxa"/>
        <w:tblBorders>
          <w:top w:val="none" w:sz="0" w:space="0" w:color="1F1F1F"/>
          <w:left w:val="none" w:sz="0" w:space="0" w:color="1F1F1F"/>
          <w:bottom w:val="none" w:sz="0" w:space="0" w:color="1F1F1F"/>
          <w:right w:val="none" w:sz="0" w:space="0" w:color="1F1F1F"/>
        </w:tblBorders>
        <w:tblCellMar>
          <w:left w:w="0" w:type="dxa"/>
          <w:right w:w="0" w:type="dxa"/>
        </w:tblCellMar>
        <w:tblLook w:val="04A0" w:firstRow="1" w:lastRow="0" w:firstColumn="1" w:lastColumn="0" w:noHBand="0" w:noVBand="1"/>
      </w:tblPr>
      <w:tblGrid>
        <w:gridCol w:w="4415"/>
        <w:gridCol w:w="1516"/>
        <w:gridCol w:w="2226"/>
        <w:gridCol w:w="1310"/>
      </w:tblGrid>
      <w:tr w:rsidR="00D9022D" w:rsidRPr="00711E3B" w14:paraId="428692EB" w14:textId="77777777" w:rsidTr="00E3640D">
        <w:trPr>
          <w:trHeight w:val="106"/>
          <w:tblHeader/>
          <w:tblCellSpacing w:w="0" w:type="dxa"/>
          <w:jc w:val="center"/>
        </w:trPr>
        <w:tc>
          <w:tcPr>
            <w:tcW w:w="0" w:type="auto"/>
            <w:tcBorders>
              <w:top w:val="single" w:sz="12" w:space="0" w:color="auto"/>
              <w:left w:val="nil"/>
              <w:bottom w:val="single" w:sz="4" w:space="0" w:color="auto"/>
              <w:right w:val="nil"/>
            </w:tcBorders>
            <w:tcMar>
              <w:top w:w="0" w:type="dxa"/>
              <w:left w:w="0" w:type="dxa"/>
              <w:bottom w:w="0" w:type="dxa"/>
              <w:right w:w="0" w:type="dxa"/>
            </w:tcMar>
            <w:vAlign w:val="center"/>
          </w:tcPr>
          <w:p w14:paraId="26912BC5" w14:textId="77777777" w:rsidR="00D9022D" w:rsidRPr="00711E3B" w:rsidRDefault="00D9022D" w:rsidP="00711E3B">
            <w:pPr>
              <w:snapToGrid w:val="0"/>
              <w:jc w:val="center"/>
              <w:rPr>
                <w:rStyle w:val="af"/>
                <w:rFonts w:eastAsia="sans-serif"/>
                <w:color w:val="1F1F1F"/>
                <w:sz w:val="22"/>
                <w:szCs w:val="22"/>
                <w:bdr w:val="none" w:sz="0" w:space="0" w:color="1F1F1F"/>
                <w:lang w:bidi="ar"/>
              </w:rPr>
            </w:pPr>
            <w:r w:rsidRPr="00711E3B">
              <w:rPr>
                <w:rStyle w:val="af"/>
                <w:rFonts w:eastAsia="sans-serif"/>
                <w:color w:val="1F1F1F"/>
                <w:sz w:val="22"/>
                <w:szCs w:val="22"/>
                <w:bdr w:val="none" w:sz="0" w:space="0" w:color="1F1F1F"/>
                <w:lang w:bidi="ar"/>
              </w:rPr>
              <w:t>Performance Indicators</w:t>
            </w:r>
          </w:p>
          <w:p w14:paraId="2A48F44B" w14:textId="77777777" w:rsidR="00D9022D" w:rsidRPr="00711E3B" w:rsidRDefault="00D9022D" w:rsidP="00711E3B">
            <w:pPr>
              <w:snapToGrid w:val="0"/>
              <w:jc w:val="center"/>
              <w:rPr>
                <w:rFonts w:eastAsia="sans-serif"/>
                <w:b/>
                <w:color w:val="1F1F1F"/>
                <w:sz w:val="22"/>
                <w:szCs w:val="22"/>
              </w:rPr>
            </w:pPr>
            <w:r w:rsidRPr="00711E3B">
              <w:rPr>
                <w:rStyle w:val="af"/>
                <w:rFonts w:eastAsia="sans-serif"/>
                <w:color w:val="1F1F1F"/>
                <w:sz w:val="22"/>
                <w:szCs w:val="22"/>
                <w:bdr w:val="none" w:sz="0" w:space="0" w:color="1F1F1F"/>
                <w:lang w:bidi="ar"/>
              </w:rPr>
              <w:t>(at Fast-Charging)</w:t>
            </w:r>
          </w:p>
        </w:tc>
        <w:tc>
          <w:tcPr>
            <w:tcW w:w="0" w:type="auto"/>
            <w:tcBorders>
              <w:top w:val="single" w:sz="12" w:space="0" w:color="auto"/>
              <w:left w:val="nil"/>
              <w:bottom w:val="single" w:sz="4" w:space="0" w:color="auto"/>
              <w:right w:val="nil"/>
            </w:tcBorders>
            <w:tcMar>
              <w:top w:w="0" w:type="dxa"/>
              <w:left w:w="0" w:type="dxa"/>
              <w:bottom w:w="0" w:type="dxa"/>
              <w:right w:w="0" w:type="dxa"/>
            </w:tcMar>
            <w:vAlign w:val="center"/>
          </w:tcPr>
          <w:p w14:paraId="4BD09EE9" w14:textId="77777777" w:rsidR="00D9022D" w:rsidRPr="00711E3B" w:rsidRDefault="00D9022D" w:rsidP="00711E3B">
            <w:pPr>
              <w:snapToGrid w:val="0"/>
              <w:jc w:val="center"/>
              <w:rPr>
                <w:rFonts w:eastAsia="sans-serif"/>
                <w:b/>
                <w:color w:val="1F1F1F"/>
                <w:sz w:val="22"/>
                <w:szCs w:val="22"/>
              </w:rPr>
            </w:pPr>
            <w:r w:rsidRPr="00711E3B">
              <w:rPr>
                <w:rStyle w:val="af"/>
                <w:rFonts w:eastAsia="sans-serif"/>
                <w:color w:val="1F1F1F"/>
                <w:sz w:val="22"/>
                <w:szCs w:val="22"/>
                <w:bdr w:val="none" w:sz="0" w:space="0" w:color="1F1F1F"/>
                <w:lang w:bidi="ar"/>
              </w:rPr>
              <w:t>Original Design</w:t>
            </w:r>
          </w:p>
        </w:tc>
        <w:tc>
          <w:tcPr>
            <w:tcW w:w="0" w:type="auto"/>
            <w:tcBorders>
              <w:top w:val="single" w:sz="12" w:space="0" w:color="auto"/>
              <w:left w:val="nil"/>
              <w:bottom w:val="single" w:sz="4" w:space="0" w:color="auto"/>
              <w:right w:val="nil"/>
            </w:tcBorders>
            <w:tcMar>
              <w:top w:w="0" w:type="dxa"/>
              <w:left w:w="0" w:type="dxa"/>
              <w:bottom w:w="0" w:type="dxa"/>
              <w:right w:w="0" w:type="dxa"/>
            </w:tcMar>
            <w:vAlign w:val="center"/>
          </w:tcPr>
          <w:p w14:paraId="1D6D3D4B" w14:textId="77777777" w:rsidR="00D9022D" w:rsidRPr="00711E3B" w:rsidRDefault="00D9022D" w:rsidP="00711E3B">
            <w:pPr>
              <w:snapToGrid w:val="0"/>
              <w:jc w:val="center"/>
              <w:rPr>
                <w:rFonts w:eastAsia="sans-serif"/>
                <w:b/>
                <w:color w:val="1F1F1F"/>
                <w:sz w:val="22"/>
                <w:szCs w:val="22"/>
              </w:rPr>
            </w:pPr>
            <w:r w:rsidRPr="00711E3B">
              <w:rPr>
                <w:rStyle w:val="af"/>
                <w:rFonts w:eastAsia="sans-serif"/>
                <w:color w:val="1F1F1F"/>
                <w:sz w:val="22"/>
                <w:szCs w:val="22"/>
                <w:bdr w:val="none" w:sz="0" w:space="0" w:color="1F1F1F"/>
                <w:lang w:bidi="ar"/>
              </w:rPr>
              <w:t>PSO-Optimized Design</w:t>
            </w:r>
          </w:p>
        </w:tc>
        <w:tc>
          <w:tcPr>
            <w:tcW w:w="0" w:type="auto"/>
            <w:tcBorders>
              <w:top w:val="single" w:sz="12" w:space="0" w:color="auto"/>
              <w:left w:val="nil"/>
              <w:bottom w:val="single" w:sz="4" w:space="0" w:color="auto"/>
              <w:right w:val="nil"/>
            </w:tcBorders>
            <w:tcMar>
              <w:top w:w="0" w:type="dxa"/>
              <w:left w:w="0" w:type="dxa"/>
              <w:bottom w:w="0" w:type="dxa"/>
              <w:right w:w="0" w:type="dxa"/>
            </w:tcMar>
            <w:vAlign w:val="center"/>
          </w:tcPr>
          <w:p w14:paraId="02D52843" w14:textId="77777777" w:rsidR="00D9022D" w:rsidRPr="00711E3B" w:rsidRDefault="00D9022D" w:rsidP="00711E3B">
            <w:pPr>
              <w:snapToGrid w:val="0"/>
              <w:jc w:val="center"/>
              <w:rPr>
                <w:rStyle w:val="af"/>
                <w:rFonts w:eastAsia="sans-serif"/>
                <w:color w:val="1F1F1F"/>
                <w:sz w:val="22"/>
                <w:szCs w:val="22"/>
                <w:bdr w:val="none" w:sz="0" w:space="0" w:color="1F1F1F"/>
                <w:lang w:bidi="ar"/>
              </w:rPr>
            </w:pPr>
            <w:r w:rsidRPr="00711E3B">
              <w:rPr>
                <w:rStyle w:val="af"/>
                <w:rFonts w:eastAsia="sans-serif"/>
                <w:color w:val="1F1F1F"/>
                <w:sz w:val="22"/>
                <w:szCs w:val="22"/>
                <w:bdr w:val="none" w:sz="0" w:space="0" w:color="1F1F1F"/>
                <w:lang w:bidi="ar"/>
              </w:rPr>
              <w:t>Improvement</w:t>
            </w:r>
          </w:p>
          <w:p w14:paraId="467646CA" w14:textId="77777777" w:rsidR="00D9022D" w:rsidRPr="00711E3B" w:rsidRDefault="00D9022D" w:rsidP="00711E3B">
            <w:pPr>
              <w:snapToGrid w:val="0"/>
              <w:jc w:val="center"/>
              <w:rPr>
                <w:rFonts w:eastAsia="sans-serif"/>
                <w:b/>
                <w:color w:val="1F1F1F"/>
                <w:sz w:val="22"/>
                <w:szCs w:val="22"/>
              </w:rPr>
            </w:pPr>
            <w:r w:rsidRPr="00711E3B">
              <w:rPr>
                <w:rStyle w:val="af"/>
                <w:rFonts w:eastAsia="sans-serif"/>
                <w:color w:val="1F1F1F"/>
                <w:sz w:val="22"/>
                <w:szCs w:val="22"/>
                <w:bdr w:val="none" w:sz="0" w:space="0" w:color="1F1F1F"/>
                <w:lang w:bidi="ar"/>
              </w:rPr>
              <w:t>(%)</w:t>
            </w:r>
          </w:p>
        </w:tc>
      </w:tr>
      <w:tr w:rsidR="00D9022D" w:rsidRPr="00711E3B" w14:paraId="2A9EB1F2" w14:textId="77777777" w:rsidTr="00E3640D">
        <w:trPr>
          <w:trHeight w:val="74"/>
          <w:tblCellSpacing w:w="0" w:type="dxa"/>
          <w:jc w:val="center"/>
        </w:trPr>
        <w:tc>
          <w:tcPr>
            <w:tcW w:w="0" w:type="auto"/>
            <w:tcBorders>
              <w:top w:val="nil"/>
              <w:left w:val="nil"/>
              <w:bottom w:val="nil"/>
              <w:right w:val="nil"/>
            </w:tcBorders>
            <w:tcMar>
              <w:top w:w="0" w:type="dxa"/>
              <w:left w:w="0" w:type="dxa"/>
              <w:bottom w:w="0" w:type="dxa"/>
              <w:right w:w="0" w:type="dxa"/>
            </w:tcMar>
            <w:vAlign w:val="center"/>
          </w:tcPr>
          <w:p w14:paraId="3FBF228E"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Maximum Temperature (T</w:t>
            </w:r>
            <w:r w:rsidRPr="00711E3B">
              <w:rPr>
                <w:rFonts w:eastAsia="sans-serif"/>
                <w:color w:val="1F1F1F"/>
                <w:sz w:val="22"/>
                <w:szCs w:val="22"/>
                <w:bdr w:val="none" w:sz="0" w:space="0" w:color="1F1F1F"/>
                <w:vertAlign w:val="subscript"/>
                <w:lang w:bidi="ar"/>
              </w:rPr>
              <w:t>max</w:t>
            </w:r>
            <w:r w:rsidRPr="00711E3B">
              <w:rPr>
                <w:rFonts w:eastAsia="sans-serif"/>
                <w:color w:val="1F1F1F"/>
                <w:sz w:val="22"/>
                <w:szCs w:val="22"/>
                <w:bdr w:val="none" w:sz="0" w:space="0" w:color="1F1F1F"/>
                <w:lang w:bidi="ar"/>
              </w:rPr>
              <w:t>, ℃)</w:t>
            </w:r>
          </w:p>
        </w:tc>
        <w:tc>
          <w:tcPr>
            <w:tcW w:w="0" w:type="auto"/>
            <w:tcBorders>
              <w:top w:val="nil"/>
              <w:left w:val="nil"/>
              <w:bottom w:val="nil"/>
              <w:right w:val="nil"/>
            </w:tcBorders>
            <w:tcMar>
              <w:top w:w="0" w:type="dxa"/>
              <w:left w:w="0" w:type="dxa"/>
              <w:bottom w:w="0" w:type="dxa"/>
              <w:right w:w="0" w:type="dxa"/>
            </w:tcMar>
            <w:vAlign w:val="center"/>
          </w:tcPr>
          <w:p w14:paraId="229D6B9E"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58.4</w:t>
            </w:r>
          </w:p>
        </w:tc>
        <w:tc>
          <w:tcPr>
            <w:tcW w:w="0" w:type="auto"/>
            <w:tcBorders>
              <w:top w:val="nil"/>
              <w:left w:val="nil"/>
              <w:bottom w:val="nil"/>
              <w:right w:val="nil"/>
            </w:tcBorders>
            <w:tcMar>
              <w:top w:w="0" w:type="dxa"/>
              <w:left w:w="0" w:type="dxa"/>
              <w:bottom w:w="0" w:type="dxa"/>
              <w:right w:w="0" w:type="dxa"/>
            </w:tcMar>
            <w:vAlign w:val="center"/>
          </w:tcPr>
          <w:p w14:paraId="0C365190"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46.2</w:t>
            </w:r>
          </w:p>
        </w:tc>
        <w:tc>
          <w:tcPr>
            <w:tcW w:w="0" w:type="auto"/>
            <w:tcBorders>
              <w:top w:val="nil"/>
              <w:left w:val="nil"/>
              <w:bottom w:val="nil"/>
              <w:right w:val="nil"/>
            </w:tcBorders>
            <w:tcMar>
              <w:top w:w="0" w:type="dxa"/>
              <w:left w:w="0" w:type="dxa"/>
              <w:bottom w:w="0" w:type="dxa"/>
              <w:right w:w="0" w:type="dxa"/>
            </w:tcMar>
            <w:vAlign w:val="center"/>
          </w:tcPr>
          <w:p w14:paraId="1AE3A787"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-20.9%</w:t>
            </w:r>
          </w:p>
        </w:tc>
      </w:tr>
      <w:tr w:rsidR="00D9022D" w:rsidRPr="00711E3B" w14:paraId="1A92B461" w14:textId="77777777" w:rsidTr="00E3640D">
        <w:trPr>
          <w:trHeight w:val="257"/>
          <w:tblCellSpacing w:w="0" w:type="dxa"/>
          <w:jc w:val="center"/>
        </w:trPr>
        <w:tc>
          <w:tcPr>
            <w:tcW w:w="0" w:type="auto"/>
            <w:tcBorders>
              <w:top w:val="nil"/>
              <w:left w:val="nil"/>
              <w:bottom w:val="nil"/>
              <w:right w:val="nil"/>
            </w:tcBorders>
            <w:tcMar>
              <w:top w:w="0" w:type="dxa"/>
              <w:left w:w="0" w:type="dxa"/>
              <w:bottom w:w="0" w:type="dxa"/>
              <w:right w:w="0" w:type="dxa"/>
            </w:tcMar>
            <w:vAlign w:val="center"/>
          </w:tcPr>
          <w:p w14:paraId="251D6AD4"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Maximum Temperature Difference (</w:t>
            </w:r>
            <w:r w:rsidRPr="00711E3B">
              <w:rPr>
                <w:color w:val="1F1F1F"/>
                <w:sz w:val="22"/>
                <w:szCs w:val="22"/>
                <w:bdr w:val="none" w:sz="0" w:space="0" w:color="1F1F1F"/>
                <w:lang w:bidi="ar"/>
              </w:rPr>
              <w:t>▲</w:t>
            </w:r>
            <w:r w:rsidRPr="00711E3B">
              <w:rPr>
                <w:rFonts w:eastAsia="sans-serif"/>
                <w:color w:val="1F1F1F"/>
                <w:sz w:val="22"/>
                <w:szCs w:val="22"/>
                <w:bdr w:val="none" w:sz="0" w:space="0" w:color="1F1F1F"/>
                <w:lang w:bidi="ar"/>
              </w:rPr>
              <w:t xml:space="preserve"> T, </w:t>
            </w:r>
            <w:r w:rsidRPr="00711E3B">
              <w:rPr>
                <w:rFonts w:eastAsia="sans-serif"/>
                <w:color w:val="1F1F1F"/>
                <w:sz w:val="22"/>
                <w:szCs w:val="22"/>
                <w:lang w:bidi="ar"/>
              </w:rPr>
              <w:t>℃</w:t>
            </w:r>
            <w:r w:rsidRPr="00711E3B">
              <w:rPr>
                <w:rFonts w:eastAsia="sans-serif"/>
                <w:color w:val="1F1F1F"/>
                <w:sz w:val="22"/>
                <w:szCs w:val="22"/>
                <w:bdr w:val="none" w:sz="0" w:space="0" w:color="1F1F1F"/>
                <w:lang w:bidi="ar"/>
              </w:rPr>
              <w:t>)</w:t>
            </w:r>
          </w:p>
        </w:tc>
        <w:tc>
          <w:tcPr>
            <w:tcW w:w="0" w:type="auto"/>
            <w:tcBorders>
              <w:top w:val="nil"/>
              <w:left w:val="nil"/>
              <w:bottom w:val="nil"/>
              <w:right w:val="nil"/>
            </w:tcBorders>
            <w:tcMar>
              <w:top w:w="0" w:type="dxa"/>
              <w:left w:w="0" w:type="dxa"/>
              <w:bottom w:w="0" w:type="dxa"/>
              <w:right w:w="0" w:type="dxa"/>
            </w:tcMar>
            <w:vAlign w:val="center"/>
          </w:tcPr>
          <w:p w14:paraId="74981FA7"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9.8</w:t>
            </w:r>
          </w:p>
        </w:tc>
        <w:tc>
          <w:tcPr>
            <w:tcW w:w="0" w:type="auto"/>
            <w:tcBorders>
              <w:top w:val="nil"/>
              <w:left w:val="nil"/>
              <w:bottom w:val="nil"/>
              <w:right w:val="nil"/>
            </w:tcBorders>
            <w:tcMar>
              <w:top w:w="0" w:type="dxa"/>
              <w:left w:w="0" w:type="dxa"/>
              <w:bottom w:w="0" w:type="dxa"/>
              <w:right w:w="0" w:type="dxa"/>
            </w:tcMar>
            <w:vAlign w:val="center"/>
          </w:tcPr>
          <w:p w14:paraId="0B03454E"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3.5</w:t>
            </w:r>
          </w:p>
        </w:tc>
        <w:tc>
          <w:tcPr>
            <w:tcW w:w="0" w:type="auto"/>
            <w:tcBorders>
              <w:top w:val="nil"/>
              <w:left w:val="nil"/>
              <w:bottom w:val="nil"/>
              <w:right w:val="nil"/>
            </w:tcBorders>
            <w:tcMar>
              <w:top w:w="0" w:type="dxa"/>
              <w:left w:w="0" w:type="dxa"/>
              <w:bottom w:w="0" w:type="dxa"/>
              <w:right w:w="0" w:type="dxa"/>
            </w:tcMar>
            <w:vAlign w:val="center"/>
          </w:tcPr>
          <w:p w14:paraId="178669BA"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-64.3%</w:t>
            </w:r>
          </w:p>
        </w:tc>
      </w:tr>
      <w:tr w:rsidR="00D9022D" w:rsidRPr="00711E3B" w14:paraId="7EF13991" w14:textId="77777777" w:rsidTr="00E3640D">
        <w:trPr>
          <w:trHeight w:val="74"/>
          <w:tblCellSpacing w:w="0" w:type="dxa"/>
          <w:jc w:val="center"/>
        </w:trPr>
        <w:tc>
          <w:tcPr>
            <w:tcW w:w="0" w:type="auto"/>
            <w:tcBorders>
              <w:top w:val="nil"/>
              <w:left w:val="nil"/>
              <w:bottom w:val="nil"/>
              <w:right w:val="nil"/>
            </w:tcBorders>
            <w:tcMar>
              <w:top w:w="0" w:type="dxa"/>
              <w:left w:w="0" w:type="dxa"/>
              <w:bottom w:w="0" w:type="dxa"/>
              <w:right w:w="0" w:type="dxa"/>
            </w:tcMar>
            <w:vAlign w:val="center"/>
          </w:tcPr>
          <w:p w14:paraId="091E9C5F"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Average Temperature of Battery Pack (T</w:t>
            </w:r>
            <w:r w:rsidRPr="00711E3B">
              <w:rPr>
                <w:rFonts w:eastAsia="sans-serif"/>
                <w:color w:val="1F1F1F"/>
                <w:sz w:val="22"/>
                <w:szCs w:val="22"/>
                <w:bdr w:val="none" w:sz="0" w:space="0" w:color="1F1F1F"/>
                <w:vertAlign w:val="subscript"/>
                <w:lang w:bidi="ar"/>
              </w:rPr>
              <w:t>avg</w:t>
            </w:r>
            <w:r w:rsidRPr="00711E3B">
              <w:rPr>
                <w:rFonts w:eastAsia="sans-serif"/>
                <w:color w:val="1F1F1F"/>
                <w:sz w:val="22"/>
                <w:szCs w:val="22"/>
                <w:bdr w:val="none" w:sz="0" w:space="0" w:color="1F1F1F"/>
                <w:lang w:bidi="ar"/>
              </w:rPr>
              <w:t xml:space="preserve">}, </w:t>
            </w:r>
            <w:r w:rsidRPr="00711E3B">
              <w:rPr>
                <w:rFonts w:eastAsia="sans-serif"/>
                <w:color w:val="1F1F1F"/>
                <w:sz w:val="22"/>
                <w:szCs w:val="22"/>
                <w:lang w:bidi="ar"/>
              </w:rPr>
              <w:t>℃</w:t>
            </w:r>
            <w:r w:rsidRPr="00711E3B">
              <w:rPr>
                <w:rFonts w:eastAsia="sans-serif"/>
                <w:color w:val="1F1F1F"/>
                <w:sz w:val="22"/>
                <w:szCs w:val="22"/>
                <w:bdr w:val="none" w:sz="0" w:space="0" w:color="1F1F1F"/>
                <w:lang w:bidi="ar"/>
              </w:rPr>
              <w:t>)</w:t>
            </w:r>
          </w:p>
        </w:tc>
        <w:tc>
          <w:tcPr>
            <w:tcW w:w="0" w:type="auto"/>
            <w:tcBorders>
              <w:top w:val="nil"/>
              <w:left w:val="nil"/>
              <w:bottom w:val="nil"/>
              <w:right w:val="nil"/>
            </w:tcBorders>
            <w:tcMar>
              <w:top w:w="0" w:type="dxa"/>
              <w:left w:w="0" w:type="dxa"/>
              <w:bottom w:w="0" w:type="dxa"/>
              <w:right w:w="0" w:type="dxa"/>
            </w:tcMar>
            <w:vAlign w:val="center"/>
          </w:tcPr>
          <w:p w14:paraId="7661A5A6"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45.7</w:t>
            </w:r>
          </w:p>
        </w:tc>
        <w:tc>
          <w:tcPr>
            <w:tcW w:w="0" w:type="auto"/>
            <w:tcBorders>
              <w:top w:val="nil"/>
              <w:left w:val="nil"/>
              <w:bottom w:val="nil"/>
              <w:right w:val="nil"/>
            </w:tcBorders>
            <w:tcMar>
              <w:top w:w="0" w:type="dxa"/>
              <w:left w:w="0" w:type="dxa"/>
              <w:bottom w:w="0" w:type="dxa"/>
              <w:right w:w="0" w:type="dxa"/>
            </w:tcMar>
            <w:vAlign w:val="center"/>
          </w:tcPr>
          <w:p w14:paraId="1B1CD9E7"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40.1</w:t>
            </w:r>
          </w:p>
        </w:tc>
        <w:tc>
          <w:tcPr>
            <w:tcW w:w="0" w:type="auto"/>
            <w:tcBorders>
              <w:top w:val="nil"/>
              <w:left w:val="nil"/>
              <w:bottom w:val="nil"/>
              <w:right w:val="nil"/>
            </w:tcBorders>
            <w:tcMar>
              <w:top w:w="0" w:type="dxa"/>
              <w:left w:w="0" w:type="dxa"/>
              <w:bottom w:w="0" w:type="dxa"/>
              <w:right w:w="0" w:type="dxa"/>
            </w:tcMar>
            <w:vAlign w:val="center"/>
          </w:tcPr>
          <w:p w14:paraId="3CE02B7D"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-12.3%</w:t>
            </w:r>
          </w:p>
        </w:tc>
      </w:tr>
      <w:tr w:rsidR="00D9022D" w:rsidRPr="00711E3B" w14:paraId="603132D0" w14:textId="77777777" w:rsidTr="00E3640D">
        <w:trPr>
          <w:trHeight w:val="74"/>
          <w:tblCellSpacing w:w="0" w:type="dxa"/>
          <w:jc w:val="center"/>
        </w:trPr>
        <w:tc>
          <w:tcPr>
            <w:tcW w:w="0" w:type="auto"/>
            <w:tcBorders>
              <w:top w:val="nil"/>
              <w:left w:val="nil"/>
              <w:bottom w:val="single" w:sz="12" w:space="0" w:color="auto"/>
              <w:right w:val="nil"/>
            </w:tcBorders>
            <w:tcMar>
              <w:top w:w="0" w:type="dxa"/>
              <w:left w:w="0" w:type="dxa"/>
              <w:bottom w:w="0" w:type="dxa"/>
              <w:right w:w="0" w:type="dxa"/>
            </w:tcMar>
            <w:vAlign w:val="center"/>
          </w:tcPr>
          <w:p w14:paraId="073A63BE"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Pressure Drop of Cooling Channels (</w:t>
            </w:r>
            <w:r w:rsidRPr="00711E3B">
              <w:rPr>
                <w:color w:val="1F1F1F"/>
                <w:sz w:val="22"/>
                <w:szCs w:val="22"/>
                <w:bdr w:val="none" w:sz="0" w:space="0" w:color="1F1F1F"/>
                <w:lang w:bidi="ar"/>
              </w:rPr>
              <w:t>▲</w:t>
            </w:r>
            <w:r w:rsidRPr="00711E3B">
              <w:rPr>
                <w:rFonts w:eastAsia="sans-serif"/>
                <w:color w:val="1F1F1F"/>
                <w:sz w:val="22"/>
                <w:szCs w:val="22"/>
                <w:bdr w:val="none" w:sz="0" w:space="0" w:color="1F1F1F"/>
                <w:lang w:bidi="ar"/>
              </w:rPr>
              <w:t>P, Pa})</w:t>
            </w:r>
          </w:p>
        </w:tc>
        <w:tc>
          <w:tcPr>
            <w:tcW w:w="0" w:type="auto"/>
            <w:tcBorders>
              <w:top w:val="nil"/>
              <w:left w:val="nil"/>
              <w:bottom w:val="single" w:sz="12" w:space="0" w:color="auto"/>
              <w:right w:val="nil"/>
            </w:tcBorders>
            <w:tcMar>
              <w:top w:w="0" w:type="dxa"/>
              <w:left w:w="0" w:type="dxa"/>
              <w:bottom w:w="0" w:type="dxa"/>
              <w:right w:w="0" w:type="dxa"/>
            </w:tcMar>
            <w:vAlign w:val="center"/>
          </w:tcPr>
          <w:p w14:paraId="6611316F"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1250</w:t>
            </w:r>
          </w:p>
        </w:tc>
        <w:tc>
          <w:tcPr>
            <w:tcW w:w="0" w:type="auto"/>
            <w:tcBorders>
              <w:top w:val="nil"/>
              <w:left w:val="nil"/>
              <w:bottom w:val="single" w:sz="12" w:space="0" w:color="auto"/>
              <w:right w:val="nil"/>
            </w:tcBorders>
            <w:tcMar>
              <w:top w:w="0" w:type="dxa"/>
              <w:left w:w="0" w:type="dxa"/>
              <w:bottom w:w="0" w:type="dxa"/>
              <w:right w:w="0" w:type="dxa"/>
            </w:tcMar>
            <w:vAlign w:val="center"/>
          </w:tcPr>
          <w:p w14:paraId="3CA25F1E"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1380</w:t>
            </w:r>
          </w:p>
        </w:tc>
        <w:tc>
          <w:tcPr>
            <w:tcW w:w="0" w:type="auto"/>
            <w:tcBorders>
              <w:top w:val="nil"/>
              <w:left w:val="nil"/>
              <w:bottom w:val="single" w:sz="12" w:space="0" w:color="auto"/>
              <w:right w:val="nil"/>
            </w:tcBorders>
            <w:tcMar>
              <w:top w:w="0" w:type="dxa"/>
              <w:left w:w="0" w:type="dxa"/>
              <w:bottom w:w="0" w:type="dxa"/>
              <w:right w:w="0" w:type="dxa"/>
            </w:tcMar>
            <w:vAlign w:val="center"/>
          </w:tcPr>
          <w:p w14:paraId="3C27DC0A" w14:textId="77777777" w:rsidR="00D9022D" w:rsidRPr="00711E3B" w:rsidRDefault="00D9022D" w:rsidP="00711E3B">
            <w:pPr>
              <w:snapToGrid w:val="0"/>
              <w:jc w:val="center"/>
              <w:rPr>
                <w:rFonts w:eastAsia="sans-serif"/>
                <w:color w:val="1F1F1F"/>
                <w:sz w:val="22"/>
                <w:szCs w:val="22"/>
              </w:rPr>
            </w:pPr>
            <w:r w:rsidRPr="00711E3B">
              <w:rPr>
                <w:rFonts w:eastAsia="sans-serif"/>
                <w:color w:val="1F1F1F"/>
                <w:sz w:val="22"/>
                <w:szCs w:val="22"/>
                <w:bdr w:val="none" w:sz="0" w:space="0" w:color="1F1F1F"/>
                <w:lang w:bidi="ar"/>
              </w:rPr>
              <w:t>+10.4%</w:t>
            </w:r>
          </w:p>
        </w:tc>
      </w:tr>
    </w:tbl>
    <w:p w14:paraId="5A7744D4" w14:textId="77777777" w:rsidR="00D9022D" w:rsidRPr="00D9022D" w:rsidRDefault="00D9022D" w:rsidP="00D9022D">
      <w:pPr>
        <w:pStyle w:val="ad"/>
        <w:spacing w:after="0" w:line="240" w:lineRule="auto"/>
      </w:pPr>
    </w:p>
    <w:p w14:paraId="2C986F1B" w14:textId="6C765360" w:rsidR="00D9022D" w:rsidRPr="00711E3B" w:rsidRDefault="00711E3B" w:rsidP="00711E3B">
      <w:pPr>
        <w:pStyle w:val="TTPParagraphothers"/>
        <w:spacing w:before="120"/>
        <w:ind w:firstLine="0"/>
        <w:jc w:val="center"/>
        <w:rPr>
          <w:noProof/>
          <w:szCs w:val="20"/>
        </w:rPr>
      </w:pPr>
      <w:r>
        <w:rPr>
          <w:noProof/>
        </w:rPr>
        <w:drawing>
          <wp:inline distT="0" distB="0" distL="0" distR="0" wp14:anchorId="126984D6" wp14:editId="6848E657">
            <wp:extent cx="4045256" cy="3122762"/>
            <wp:effectExtent l="0" t="0" r="0" b="1905"/>
            <wp:docPr id="240276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7606" name=""/>
                    <pic:cNvPicPr/>
                  </pic:nvPicPr>
                  <pic:blipFill>
                    <a:blip r:embed="rId9"/>
                    <a:stretch>
                      <a:fillRect/>
                    </a:stretch>
                  </pic:blipFill>
                  <pic:spPr>
                    <a:xfrm>
                      <a:off x="0" y="0"/>
                      <a:ext cx="4106883" cy="3170335"/>
                    </a:xfrm>
                    <a:prstGeom prst="rect">
                      <a:avLst/>
                    </a:prstGeom>
                  </pic:spPr>
                </pic:pic>
              </a:graphicData>
            </a:graphic>
          </wp:inline>
        </w:drawing>
      </w:r>
    </w:p>
    <w:p w14:paraId="6EEB1C79" w14:textId="0E31E47B" w:rsidR="00D9022D" w:rsidRPr="00711E3B" w:rsidRDefault="00D9022D" w:rsidP="00711E3B">
      <w:pPr>
        <w:pStyle w:val="Figure"/>
        <w:spacing w:line="240" w:lineRule="auto"/>
        <w:rPr>
          <w:rFonts w:eastAsiaTheme="minorEastAsia"/>
          <w:sz w:val="24"/>
          <w:szCs w:val="24"/>
          <w:lang w:eastAsia="zh-CN"/>
        </w:rPr>
      </w:pPr>
      <w:r w:rsidRPr="00711E3B">
        <w:rPr>
          <w:b/>
          <w:sz w:val="24"/>
        </w:rPr>
        <w:t xml:space="preserve">Figure 2. </w:t>
      </w:r>
      <w:r w:rsidRPr="00711E3B">
        <w:rPr>
          <w:sz w:val="24"/>
          <w:szCs w:val="24"/>
        </w:rPr>
        <w:t>Simulation Results &amp; Optimization</w:t>
      </w:r>
      <w:r w:rsidR="00711E3B" w:rsidRPr="00711E3B">
        <w:rPr>
          <w:rFonts w:eastAsiaTheme="minorEastAsia" w:hint="eastAsia"/>
          <w:sz w:val="24"/>
          <w:szCs w:val="24"/>
          <w:lang w:eastAsia="zh-CN"/>
        </w:rPr>
        <w:t>.</w:t>
      </w:r>
    </w:p>
    <w:p w14:paraId="4CB03A9A" w14:textId="4566A76D" w:rsidR="00D9022D" w:rsidRPr="00D9022D" w:rsidRDefault="00D9022D" w:rsidP="00D9022D">
      <w:pPr>
        <w:pStyle w:val="1"/>
        <w:numPr>
          <w:ilvl w:val="0"/>
          <w:numId w:val="9"/>
        </w:numPr>
        <w:ind w:left="420" w:hanging="420"/>
      </w:pPr>
      <w:r w:rsidRPr="00D9022D">
        <w:t>Conclusion</w:t>
      </w:r>
    </w:p>
    <w:p w14:paraId="73CFD066" w14:textId="77777777" w:rsidR="00E3640D" w:rsidRDefault="00E3640D" w:rsidP="00E3640D">
      <w:pPr>
        <w:pStyle w:val="TTPParagraphothers"/>
      </w:pPr>
      <w:r>
        <w:t xml:space="preserve">This study successfully developed and validated a refined thermal management system model for new energy vehicle battery packs using multi-physics coupling simulation technology. A three-dimensional geometric model, accurately representing the internal structure of a battery module including cells, thermal interface materials, and cooling plates, was constructed. Through fluid-solid-thermal coupling simulations, the thermal behavior under conditions such as fast charging was analyzed, identifying key challenges related to temperature uniformity and peak temperatures. Subsequently, the Particle Swarm Optimization algorithm was applied to structurally optimize the </w:t>
      </w:r>
      <w:r>
        <w:lastRenderedPageBreak/>
        <w:t>cooling plate's flow channels. The optimized design demonstrated a significant improvement in thermal performance, effectively reducing the maximum temperature during high-load operations and maintaining excellent temperature uniformity across the battery pack. These findings confirm that the proposed modeling, simulation, and optimization framework provides a reliable and effective virtual tool for the engineering design of battery thermal management systems, contributing directly to enhanced safety and performance.</w:t>
      </w:r>
    </w:p>
    <w:p w14:paraId="067ABCB7" w14:textId="77777777" w:rsidR="00E3640D" w:rsidRDefault="00E3640D" w:rsidP="00E3640D">
      <w:pPr>
        <w:pStyle w:val="TTPParagraphothers"/>
      </w:pPr>
      <w:r>
        <w:t>Several promising directions for future work are identified. The current model and optimization primarily focus on the cooling plate structure under specific steady-state or transient conditions. Future research should expand the scope to develop and integrate a holistic, system-level dynamic control strategy. This would involve creating a co-simulation platform that couples the detailed three-dimensional thermal model with a one-dimensional system model of the entire vehicle's thermal management circuit, including the chiller, pumps, and cabin climate control. Such a platform would enable the development and testing of intelligent control algorithms, such as model predictive control, to dynamically adjust coolant flow rates and temperatures based on real-time battery status, ambient conditions, and vehicle driving cycles. This approach aims to achieve optimal thermal regulation while minimizing system energy consumption.</w:t>
      </w:r>
    </w:p>
    <w:p w14:paraId="2DA65C13" w14:textId="77777777" w:rsidR="00E3640D" w:rsidRDefault="00E3640D" w:rsidP="00E3640D">
      <w:pPr>
        <w:pStyle w:val="TTPParagraphothers"/>
      </w:pPr>
      <w:r>
        <w:t>The simulation of thermal runaway propagation remains a critical area for enhancing safety design. Future work should incorporate advanced electrochemical-thermal coupling models that can predict the onset of thermal runaway and simulate its propagation path within a module or pack. This requires integrating chemical reaction kinetics to model the heat generation during failure. The goal is to use such high-fidelity safety simulations to guide the design of more effective thermal barriers, fire-resistant materials, and module isolation structures, thereby extending the critical time window for safety interventions.</w:t>
      </w:r>
    </w:p>
    <w:p w14:paraId="21337126" w14:textId="62270317" w:rsidR="00D9022D" w:rsidRPr="00D9022D" w:rsidRDefault="00E3640D" w:rsidP="00E3640D">
      <w:pPr>
        <w:pStyle w:val="TTPParagraphothers"/>
      </w:pPr>
      <w:r>
        <w:t>The development of reduced-order models is essential. Techniques such as proper orthogonal decomposition or neural networks can be explored to create highly efficient yet accurate surrogate models from the high-fidelity simulation data. These lightweight models could be deployed in battery management systems for onboard thermal monitoring and predictive control or used to drastically accelerate the optimization process for new cooling system designs. The ongoing advancement in computing power, including the potential application of quantum computing for solving complex thermal fields, may further revolutionize the speed and scale of future thermal management simulations.</w:t>
      </w:r>
    </w:p>
    <w:p w14:paraId="4D8894D2" w14:textId="77777777" w:rsidR="00D9022D" w:rsidRPr="00D9022D" w:rsidRDefault="00D9022D" w:rsidP="00D9022D">
      <w:pPr>
        <w:pStyle w:val="1"/>
      </w:pPr>
      <w:r w:rsidRPr="00D9022D">
        <w:t>References</w:t>
      </w:r>
    </w:p>
    <w:p w14:paraId="0BC22A36" w14:textId="3FC41684" w:rsidR="00D9022D" w:rsidRPr="00D9022D" w:rsidRDefault="00D9022D" w:rsidP="00D9022D">
      <w:pPr>
        <w:pStyle w:val="Reference"/>
        <w:numPr>
          <w:ilvl w:val="0"/>
          <w:numId w:val="2"/>
        </w:numPr>
        <w:tabs>
          <w:tab w:val="left" w:pos="426"/>
        </w:tabs>
        <w:spacing w:after="60"/>
        <w:rPr>
          <w:sz w:val="22"/>
          <w:szCs w:val="22"/>
        </w:rPr>
      </w:pPr>
      <w:r w:rsidRPr="00D9022D">
        <w:rPr>
          <w:sz w:val="22"/>
          <w:szCs w:val="22"/>
        </w:rPr>
        <w:t>Wan G. Modeling and analysis of thermal management of battery cooling system[J]. IOP Publishing Ltd, 2025.</w:t>
      </w:r>
    </w:p>
    <w:p w14:paraId="32DA1F00" w14:textId="09C0B2AF" w:rsidR="00D9022D" w:rsidRPr="00D9022D" w:rsidRDefault="00D9022D" w:rsidP="00D9022D">
      <w:pPr>
        <w:pStyle w:val="Reference"/>
        <w:numPr>
          <w:ilvl w:val="0"/>
          <w:numId w:val="2"/>
        </w:numPr>
        <w:tabs>
          <w:tab w:val="left" w:pos="426"/>
        </w:tabs>
        <w:spacing w:after="60"/>
        <w:rPr>
          <w:sz w:val="22"/>
          <w:szCs w:val="22"/>
        </w:rPr>
      </w:pPr>
      <w:r w:rsidRPr="00D9022D">
        <w:rPr>
          <w:sz w:val="22"/>
          <w:szCs w:val="24"/>
        </w:rPr>
        <w:t>Al</w:t>
      </w:r>
      <w:r w:rsidRPr="00D9022D">
        <w:rPr>
          <w:sz w:val="22"/>
          <w:szCs w:val="22"/>
        </w:rPr>
        <w:t xml:space="preserve">-Masri A, Khanafer K, Vafai K. Thermal modeling of porous medium integrated in PCM and its application in passive thermal management of electric vehicle battery pack[J]. journal of applied physics, </w:t>
      </w:r>
      <w:r w:rsidRPr="00D9022D">
        <w:rPr>
          <w:sz w:val="22"/>
          <w:szCs w:val="24"/>
        </w:rPr>
        <w:t>2024</w:t>
      </w:r>
      <w:r w:rsidRPr="00D9022D">
        <w:rPr>
          <w:sz w:val="22"/>
          <w:szCs w:val="22"/>
        </w:rPr>
        <w:t>, 136(3):29.</w:t>
      </w:r>
    </w:p>
    <w:p w14:paraId="74E4247B" w14:textId="2BF6990E" w:rsidR="00D9022D" w:rsidRPr="00D9022D" w:rsidRDefault="00D9022D" w:rsidP="00D9022D">
      <w:pPr>
        <w:pStyle w:val="Reference"/>
        <w:numPr>
          <w:ilvl w:val="0"/>
          <w:numId w:val="2"/>
        </w:numPr>
        <w:tabs>
          <w:tab w:val="left" w:pos="426"/>
        </w:tabs>
        <w:spacing w:after="60"/>
        <w:rPr>
          <w:sz w:val="22"/>
          <w:szCs w:val="22"/>
        </w:rPr>
      </w:pPr>
      <w:proofErr w:type="spellStart"/>
      <w:r w:rsidRPr="00D9022D">
        <w:rPr>
          <w:sz w:val="22"/>
          <w:szCs w:val="24"/>
        </w:rPr>
        <w:t>Bandela</w:t>
      </w:r>
      <w:proofErr w:type="spellEnd"/>
      <w:r w:rsidRPr="00D9022D">
        <w:rPr>
          <w:sz w:val="22"/>
          <w:szCs w:val="22"/>
        </w:rPr>
        <w:t xml:space="preserve"> R, Shaik F. Modeling of Phase Change Materials in Electric Vehicle Battery Thermal </w:t>
      </w:r>
      <w:r w:rsidRPr="00D9022D">
        <w:rPr>
          <w:sz w:val="22"/>
          <w:szCs w:val="24"/>
        </w:rPr>
        <w:t>Management</w:t>
      </w:r>
      <w:r w:rsidRPr="00D9022D">
        <w:rPr>
          <w:sz w:val="22"/>
          <w:szCs w:val="22"/>
        </w:rPr>
        <w:t>[J]. IOP Publishing Ltd, 2025.</w:t>
      </w:r>
    </w:p>
    <w:p w14:paraId="6F586895" w14:textId="45860E0E" w:rsidR="00D9022D" w:rsidRPr="00D9022D" w:rsidRDefault="00D9022D" w:rsidP="00D9022D">
      <w:pPr>
        <w:pStyle w:val="Reference"/>
        <w:numPr>
          <w:ilvl w:val="0"/>
          <w:numId w:val="2"/>
        </w:numPr>
        <w:tabs>
          <w:tab w:val="left" w:pos="426"/>
        </w:tabs>
        <w:spacing w:after="60"/>
        <w:rPr>
          <w:sz w:val="22"/>
          <w:szCs w:val="22"/>
        </w:rPr>
      </w:pPr>
      <w:proofErr w:type="spellStart"/>
      <w:r w:rsidRPr="00D9022D">
        <w:rPr>
          <w:sz w:val="22"/>
          <w:szCs w:val="22"/>
        </w:rPr>
        <w:t>Lv</w:t>
      </w:r>
      <w:proofErr w:type="spellEnd"/>
      <w:r w:rsidRPr="00D9022D">
        <w:rPr>
          <w:sz w:val="22"/>
          <w:szCs w:val="22"/>
        </w:rPr>
        <w:t xml:space="preserve"> Z, Sun Z, Wang </w:t>
      </w:r>
      <w:r w:rsidR="00711E3B" w:rsidRPr="00D9022D">
        <w:rPr>
          <w:sz w:val="22"/>
          <w:szCs w:val="22"/>
        </w:rPr>
        <w:t>L, et al.</w:t>
      </w:r>
      <w:r w:rsidRPr="00D9022D">
        <w:rPr>
          <w:sz w:val="22"/>
          <w:szCs w:val="22"/>
        </w:rPr>
        <w:t xml:space="preserve"> Multi-Level Thermal Modeling and Management of Battery Energy </w:t>
      </w:r>
      <w:r w:rsidRPr="00D9022D">
        <w:rPr>
          <w:sz w:val="22"/>
          <w:szCs w:val="24"/>
        </w:rPr>
        <w:t>Storage</w:t>
      </w:r>
      <w:r w:rsidRPr="00D9022D">
        <w:rPr>
          <w:sz w:val="22"/>
          <w:szCs w:val="22"/>
        </w:rPr>
        <w:t xml:space="preserve"> Systems[J]. Batteries, 2025, 11(6). DOI:10.3390/batteries11060219.</w:t>
      </w:r>
    </w:p>
    <w:p w14:paraId="2DB11D88" w14:textId="2F7A6BA3" w:rsidR="00D9022D" w:rsidRPr="00D9022D" w:rsidRDefault="00D9022D" w:rsidP="00D9022D">
      <w:pPr>
        <w:pStyle w:val="Reference"/>
        <w:numPr>
          <w:ilvl w:val="0"/>
          <w:numId w:val="2"/>
        </w:numPr>
        <w:tabs>
          <w:tab w:val="left" w:pos="426"/>
        </w:tabs>
        <w:spacing w:after="60"/>
        <w:rPr>
          <w:sz w:val="22"/>
          <w:szCs w:val="22"/>
        </w:rPr>
      </w:pPr>
      <w:r w:rsidRPr="00D9022D">
        <w:rPr>
          <w:sz w:val="22"/>
          <w:szCs w:val="22"/>
        </w:rPr>
        <w:t xml:space="preserve">Thompson H. Heat Transfer Modeling and Optimal Thermal Management of Electric Vehicle </w:t>
      </w:r>
      <w:r w:rsidRPr="00D9022D">
        <w:rPr>
          <w:sz w:val="22"/>
          <w:szCs w:val="24"/>
        </w:rPr>
        <w:t>Battery</w:t>
      </w:r>
      <w:r w:rsidRPr="00D9022D">
        <w:rPr>
          <w:sz w:val="22"/>
          <w:szCs w:val="22"/>
        </w:rPr>
        <w:t xml:space="preserve"> Systems[J]. Energies, 2024, 17.DOI:10.3390/en17184575.</w:t>
      </w:r>
    </w:p>
    <w:p w14:paraId="7EC6B88E" w14:textId="7F716532" w:rsidR="00D9022D" w:rsidRPr="00D9022D" w:rsidRDefault="00D9022D" w:rsidP="00D9022D">
      <w:pPr>
        <w:pStyle w:val="Reference"/>
        <w:numPr>
          <w:ilvl w:val="0"/>
          <w:numId w:val="2"/>
        </w:numPr>
        <w:tabs>
          <w:tab w:val="left" w:pos="426"/>
        </w:tabs>
        <w:spacing w:after="60"/>
        <w:rPr>
          <w:sz w:val="22"/>
          <w:szCs w:val="22"/>
        </w:rPr>
      </w:pPr>
      <w:proofErr w:type="spellStart"/>
      <w:r w:rsidRPr="00D9022D">
        <w:rPr>
          <w:sz w:val="22"/>
          <w:szCs w:val="22"/>
        </w:rPr>
        <w:t>Akr</w:t>
      </w:r>
      <w:proofErr w:type="spellEnd"/>
      <w:r w:rsidRPr="00D9022D">
        <w:rPr>
          <w:sz w:val="22"/>
          <w:szCs w:val="22"/>
        </w:rPr>
        <w:t xml:space="preserve"> R, Mammadli </w:t>
      </w:r>
      <w:r w:rsidR="00711E3B" w:rsidRPr="00D9022D">
        <w:rPr>
          <w:sz w:val="22"/>
          <w:szCs w:val="22"/>
        </w:rPr>
        <w:t>J,</w:t>
      </w:r>
      <w:r w:rsidRPr="00D9022D">
        <w:rPr>
          <w:sz w:val="22"/>
          <w:szCs w:val="22"/>
        </w:rPr>
        <w:t xml:space="preserve"> Eker A F, et </w:t>
      </w:r>
      <w:proofErr w:type="spellStart"/>
      <w:proofErr w:type="gramStart"/>
      <w:r w:rsidRPr="00D9022D">
        <w:rPr>
          <w:sz w:val="22"/>
          <w:szCs w:val="22"/>
        </w:rPr>
        <w:t>al.A</w:t>
      </w:r>
      <w:proofErr w:type="spellEnd"/>
      <w:proofErr w:type="gramEnd"/>
      <w:r w:rsidRPr="00D9022D">
        <w:rPr>
          <w:sz w:val="22"/>
          <w:szCs w:val="22"/>
        </w:rPr>
        <w:t xml:space="preserve"> </w:t>
      </w:r>
      <w:r w:rsidR="00711E3B" w:rsidRPr="00D9022D">
        <w:rPr>
          <w:sz w:val="22"/>
          <w:szCs w:val="22"/>
        </w:rPr>
        <w:t xml:space="preserve">Comprehensive Review on Battery Thermal </w:t>
      </w:r>
      <w:r w:rsidR="00711E3B" w:rsidRPr="00D9022D">
        <w:rPr>
          <w:sz w:val="22"/>
          <w:szCs w:val="24"/>
        </w:rPr>
        <w:t>Management</w:t>
      </w:r>
      <w:r w:rsidR="00711E3B" w:rsidRPr="00D9022D">
        <w:rPr>
          <w:sz w:val="22"/>
          <w:szCs w:val="22"/>
        </w:rPr>
        <w:t xml:space="preserve"> and </w:t>
      </w:r>
      <w:r w:rsidRPr="00D9022D">
        <w:rPr>
          <w:sz w:val="22"/>
          <w:szCs w:val="22"/>
        </w:rPr>
        <w:t>M</w:t>
      </w:r>
      <w:r w:rsidR="00711E3B" w:rsidRPr="00D9022D">
        <w:rPr>
          <w:sz w:val="22"/>
          <w:szCs w:val="22"/>
        </w:rPr>
        <w:t>odeling</w:t>
      </w:r>
      <w:r w:rsidRPr="00D9022D">
        <w:rPr>
          <w:sz w:val="22"/>
          <w:szCs w:val="22"/>
        </w:rPr>
        <w:t>[J</w:t>
      </w:r>
      <w:r w:rsidR="00711E3B" w:rsidRPr="00D9022D">
        <w:rPr>
          <w:sz w:val="22"/>
          <w:szCs w:val="22"/>
        </w:rPr>
        <w:t>]. Heat</w:t>
      </w:r>
      <w:r w:rsidRPr="00D9022D">
        <w:rPr>
          <w:sz w:val="22"/>
          <w:szCs w:val="22"/>
        </w:rPr>
        <w:t xml:space="preserve"> Transfer Research, 2025.DOI:10.1615/heattransres.2025053111.</w:t>
      </w:r>
    </w:p>
    <w:p w14:paraId="317CBAF4" w14:textId="06C66217" w:rsidR="00D9022D" w:rsidRPr="00D9022D" w:rsidRDefault="00D9022D" w:rsidP="00D9022D">
      <w:pPr>
        <w:pStyle w:val="Reference"/>
        <w:numPr>
          <w:ilvl w:val="0"/>
          <w:numId w:val="2"/>
        </w:numPr>
        <w:tabs>
          <w:tab w:val="left" w:pos="426"/>
        </w:tabs>
        <w:spacing w:after="60"/>
        <w:rPr>
          <w:sz w:val="22"/>
          <w:szCs w:val="22"/>
          <w:lang w:val="de-DE"/>
        </w:rPr>
      </w:pPr>
      <w:r w:rsidRPr="00D9022D">
        <w:rPr>
          <w:sz w:val="22"/>
          <w:szCs w:val="22"/>
        </w:rPr>
        <w:t xml:space="preserve">Wei </w:t>
      </w:r>
      <w:r w:rsidR="00711E3B" w:rsidRPr="00D9022D">
        <w:rPr>
          <w:sz w:val="22"/>
          <w:szCs w:val="22"/>
        </w:rPr>
        <w:t>Y,</w:t>
      </w:r>
      <w:r w:rsidRPr="00D9022D">
        <w:rPr>
          <w:sz w:val="22"/>
          <w:szCs w:val="22"/>
        </w:rPr>
        <w:t xml:space="preserve"> Li </w:t>
      </w:r>
      <w:r w:rsidR="00711E3B" w:rsidRPr="00D9022D">
        <w:rPr>
          <w:sz w:val="22"/>
          <w:szCs w:val="22"/>
        </w:rPr>
        <w:t>K,</w:t>
      </w:r>
      <w:r w:rsidRPr="00D9022D">
        <w:rPr>
          <w:sz w:val="22"/>
          <w:szCs w:val="22"/>
        </w:rPr>
        <w:t xml:space="preserve"> Liu </w:t>
      </w:r>
      <w:r w:rsidR="00711E3B" w:rsidRPr="00D9022D">
        <w:rPr>
          <w:sz w:val="22"/>
          <w:szCs w:val="22"/>
        </w:rPr>
        <w:t>Z, et al. Modeling</w:t>
      </w:r>
      <w:r w:rsidRPr="00D9022D">
        <w:rPr>
          <w:sz w:val="22"/>
          <w:szCs w:val="22"/>
        </w:rPr>
        <w:t xml:space="preserve"> and control strategy optimization of battery pack thermal management </w:t>
      </w:r>
      <w:r w:rsidRPr="00D9022D">
        <w:rPr>
          <w:sz w:val="22"/>
          <w:szCs w:val="24"/>
        </w:rPr>
        <w:t>system</w:t>
      </w:r>
      <w:r w:rsidRPr="00D9022D">
        <w:rPr>
          <w:sz w:val="22"/>
          <w:szCs w:val="22"/>
        </w:rPr>
        <w:t xml:space="preserve"> considering aging and temperature inconsistency for fast charging[J</w:t>
      </w:r>
      <w:r w:rsidR="00711E3B" w:rsidRPr="00D9022D">
        <w:rPr>
          <w:sz w:val="22"/>
          <w:szCs w:val="22"/>
        </w:rPr>
        <w:t>]. Applied</w:t>
      </w:r>
      <w:r w:rsidRPr="00D9022D">
        <w:rPr>
          <w:sz w:val="22"/>
          <w:szCs w:val="22"/>
        </w:rPr>
        <w:t xml:space="preserve"> Thermal Engineering, 2024, 256:124153.</w:t>
      </w:r>
    </w:p>
    <w:sectPr w:rsidR="00D9022D" w:rsidRPr="00D9022D" w:rsidSect="004139B4">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851" w:left="1134" w:header="850" w:footer="425" w:gutter="0"/>
      <w:pgNumType w:start="15"/>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84D0" w14:textId="77777777" w:rsidR="0080611E" w:rsidRDefault="0080611E" w:rsidP="0007556F">
      <w:r>
        <w:separator/>
      </w:r>
    </w:p>
  </w:endnote>
  <w:endnote w:type="continuationSeparator" w:id="0">
    <w:p w14:paraId="508844FB" w14:textId="77777777" w:rsidR="0080611E" w:rsidRDefault="0080611E" w:rsidP="0007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6FFD" w14:textId="77777777" w:rsidR="004139B4" w:rsidRDefault="004139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617587"/>
      <w:docPartObj>
        <w:docPartGallery w:val="Page Numbers (Bottom of Page)"/>
        <w:docPartUnique/>
      </w:docPartObj>
    </w:sdtPr>
    <w:sdtContent>
      <w:p w14:paraId="6E4FB629" w14:textId="745878A9" w:rsidR="00327641" w:rsidRPr="00327641" w:rsidRDefault="00327641" w:rsidP="00327641">
        <w:pPr>
          <w:pStyle w:val="a5"/>
          <w:jc w:val="center"/>
        </w:pPr>
        <w:r>
          <w:fldChar w:fldCharType="begin"/>
        </w:r>
        <w:r>
          <w:instrText>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8296" w14:textId="77777777" w:rsidR="004139B4" w:rsidRDefault="004139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BBFF" w14:textId="77777777" w:rsidR="0080611E" w:rsidRDefault="0080611E" w:rsidP="0007556F">
      <w:r>
        <w:separator/>
      </w:r>
    </w:p>
  </w:footnote>
  <w:footnote w:type="continuationSeparator" w:id="0">
    <w:p w14:paraId="2217034B" w14:textId="77777777" w:rsidR="0080611E" w:rsidRDefault="0080611E" w:rsidP="0007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7440" w14:textId="77777777" w:rsidR="003866B8" w:rsidRDefault="003866B8">
    <w:pPr>
      <w:pStyle w:val="a3"/>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C8E8" w14:textId="77777777" w:rsidR="004139B4" w:rsidRDefault="004139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AF3B" w14:textId="77777777" w:rsidR="004139B4" w:rsidRDefault="004139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6ED807"/>
    <w:multiLevelType w:val="singleLevel"/>
    <w:tmpl w:val="886ED807"/>
    <w:lvl w:ilvl="0">
      <w:start w:val="1"/>
      <w:numFmt w:val="decimal"/>
      <w:suff w:val="space"/>
      <w:lvlText w:val="[%1]"/>
      <w:lvlJc w:val="left"/>
    </w:lvl>
  </w:abstractNum>
  <w:abstractNum w:abstractNumId="1" w15:restartNumberingAfterBreak="0">
    <w:nsid w:val="10640653"/>
    <w:multiLevelType w:val="hybridMultilevel"/>
    <w:tmpl w:val="8684E1CA"/>
    <w:lvl w:ilvl="0" w:tplc="387E8E42">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D31BD4"/>
    <w:multiLevelType w:val="hybridMultilevel"/>
    <w:tmpl w:val="BE30C858"/>
    <w:lvl w:ilvl="0" w:tplc="399EB1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2A3364"/>
    <w:multiLevelType w:val="multilevel"/>
    <w:tmpl w:val="AFC0F824"/>
    <w:lvl w:ilvl="0">
      <w:start w:val="1"/>
      <w:numFmt w:val="decimal"/>
      <w:lvlText w:val="%1."/>
      <w:lvlJc w:val="left"/>
      <w:pPr>
        <w:ind w:left="420" w:hanging="42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4CFD3A7D"/>
    <w:multiLevelType w:val="hybridMultilevel"/>
    <w:tmpl w:val="1A96362E"/>
    <w:lvl w:ilvl="0" w:tplc="D0B0865A">
      <w:start w:val="1"/>
      <w:numFmt w:val="decimal"/>
      <w:pStyle w:val="References"/>
      <w:lvlText w:val="[%1]"/>
      <w:lvlJc w:val="left"/>
      <w:pPr>
        <w:tabs>
          <w:tab w:val="num" w:pos="454"/>
        </w:tabs>
        <w:ind w:left="454" w:hanging="454"/>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4F699A"/>
    <w:multiLevelType w:val="hybridMultilevel"/>
    <w:tmpl w:val="F2880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CA544A"/>
    <w:multiLevelType w:val="singleLevel"/>
    <w:tmpl w:val="1C6E12FA"/>
    <w:lvl w:ilvl="0">
      <w:start w:val="1"/>
      <w:numFmt w:val="decimal"/>
      <w:pStyle w:val="references0"/>
      <w:suff w:val="space"/>
      <w:lvlText w:val="[%1]"/>
      <w:lvlJc w:val="left"/>
      <w:pPr>
        <w:ind w:left="360" w:hanging="360"/>
      </w:pPr>
      <w:rPr>
        <w:rFonts w:ascii="Times New Roman" w:hAnsi="Times New Roman" w:cs="Times New Roman" w:hint="default"/>
        <w:b w:val="0"/>
        <w:bCs w:val="0"/>
        <w:i w:val="0"/>
        <w:iCs w:val="0"/>
        <w:sz w:val="24"/>
        <w:szCs w:val="16"/>
      </w:rPr>
    </w:lvl>
  </w:abstractNum>
  <w:abstractNum w:abstractNumId="7" w15:restartNumberingAfterBreak="0">
    <w:nsid w:val="5B1862F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DFD06AB"/>
    <w:multiLevelType w:val="multilevel"/>
    <w:tmpl w:val="E18081C8"/>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EA97FD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21018341">
    <w:abstractNumId w:val="3"/>
  </w:num>
  <w:num w:numId="2" w16cid:durableId="2007898338">
    <w:abstractNumId w:val="2"/>
  </w:num>
  <w:num w:numId="3" w16cid:durableId="1432630998">
    <w:abstractNumId w:val="8"/>
  </w:num>
  <w:num w:numId="4" w16cid:durableId="905650063">
    <w:abstractNumId w:val="5"/>
  </w:num>
  <w:num w:numId="5" w16cid:durableId="1966110547">
    <w:abstractNumId w:val="6"/>
  </w:num>
  <w:num w:numId="6" w16cid:durableId="1530794564">
    <w:abstractNumId w:val="4"/>
  </w:num>
  <w:num w:numId="7" w16cid:durableId="502819395">
    <w:abstractNumId w:val="1"/>
  </w:num>
  <w:num w:numId="8" w16cid:durableId="319507006">
    <w:abstractNumId w:val="9"/>
  </w:num>
  <w:num w:numId="9" w16cid:durableId="152189680">
    <w:abstractNumId w:val="7"/>
  </w:num>
  <w:num w:numId="10" w16cid:durableId="106325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D4"/>
    <w:rsid w:val="0000598A"/>
    <w:rsid w:val="00012307"/>
    <w:rsid w:val="00020992"/>
    <w:rsid w:val="000265FE"/>
    <w:rsid w:val="0003084B"/>
    <w:rsid w:val="0003530B"/>
    <w:rsid w:val="00044EDA"/>
    <w:rsid w:val="000518B8"/>
    <w:rsid w:val="000522C1"/>
    <w:rsid w:val="00052629"/>
    <w:rsid w:val="00067F1A"/>
    <w:rsid w:val="0007556F"/>
    <w:rsid w:val="00077A04"/>
    <w:rsid w:val="00080AF5"/>
    <w:rsid w:val="00082B05"/>
    <w:rsid w:val="00084D38"/>
    <w:rsid w:val="00086928"/>
    <w:rsid w:val="00090D26"/>
    <w:rsid w:val="00091B94"/>
    <w:rsid w:val="0009479A"/>
    <w:rsid w:val="000970DF"/>
    <w:rsid w:val="000971D2"/>
    <w:rsid w:val="000A0A2D"/>
    <w:rsid w:val="000A1F29"/>
    <w:rsid w:val="000A7AB8"/>
    <w:rsid w:val="000B0442"/>
    <w:rsid w:val="000B52C9"/>
    <w:rsid w:val="000C19BF"/>
    <w:rsid w:val="000C5494"/>
    <w:rsid w:val="000E2AF9"/>
    <w:rsid w:val="000E63FC"/>
    <w:rsid w:val="000F0178"/>
    <w:rsid w:val="000F366E"/>
    <w:rsid w:val="000F4972"/>
    <w:rsid w:val="000F6624"/>
    <w:rsid w:val="00104305"/>
    <w:rsid w:val="00115233"/>
    <w:rsid w:val="00121D2E"/>
    <w:rsid w:val="0012268A"/>
    <w:rsid w:val="001234F5"/>
    <w:rsid w:val="00133B42"/>
    <w:rsid w:val="00142425"/>
    <w:rsid w:val="001449C9"/>
    <w:rsid w:val="00152DD0"/>
    <w:rsid w:val="00153AF8"/>
    <w:rsid w:val="001659E0"/>
    <w:rsid w:val="00170F0D"/>
    <w:rsid w:val="00177BCF"/>
    <w:rsid w:val="001816E3"/>
    <w:rsid w:val="001A2B14"/>
    <w:rsid w:val="001A4C1A"/>
    <w:rsid w:val="001A5569"/>
    <w:rsid w:val="001A7A2A"/>
    <w:rsid w:val="001B66F3"/>
    <w:rsid w:val="001C3426"/>
    <w:rsid w:val="001C6D59"/>
    <w:rsid w:val="001D47A6"/>
    <w:rsid w:val="001E41C8"/>
    <w:rsid w:val="001F72AB"/>
    <w:rsid w:val="00206278"/>
    <w:rsid w:val="00211DE3"/>
    <w:rsid w:val="00212F80"/>
    <w:rsid w:val="002172D0"/>
    <w:rsid w:val="00224DCD"/>
    <w:rsid w:val="0022742C"/>
    <w:rsid w:val="00232A04"/>
    <w:rsid w:val="0024287D"/>
    <w:rsid w:val="002452D2"/>
    <w:rsid w:val="0024644D"/>
    <w:rsid w:val="002465A8"/>
    <w:rsid w:val="00251E28"/>
    <w:rsid w:val="002521EC"/>
    <w:rsid w:val="002560DD"/>
    <w:rsid w:val="002574BD"/>
    <w:rsid w:val="002579B6"/>
    <w:rsid w:val="002656FA"/>
    <w:rsid w:val="002658E3"/>
    <w:rsid w:val="00277CA6"/>
    <w:rsid w:val="00281A6F"/>
    <w:rsid w:val="0029625D"/>
    <w:rsid w:val="002A21B3"/>
    <w:rsid w:val="002A234C"/>
    <w:rsid w:val="002A3F5A"/>
    <w:rsid w:val="002A7E93"/>
    <w:rsid w:val="002B1FF3"/>
    <w:rsid w:val="002B4241"/>
    <w:rsid w:val="002C75A4"/>
    <w:rsid w:val="002C76D7"/>
    <w:rsid w:val="002D0B50"/>
    <w:rsid w:val="002D61B2"/>
    <w:rsid w:val="002E1075"/>
    <w:rsid w:val="002E240A"/>
    <w:rsid w:val="002E6D35"/>
    <w:rsid w:val="002F0A76"/>
    <w:rsid w:val="002F2DEF"/>
    <w:rsid w:val="002F324C"/>
    <w:rsid w:val="00302921"/>
    <w:rsid w:val="00302EBB"/>
    <w:rsid w:val="00321883"/>
    <w:rsid w:val="003228DD"/>
    <w:rsid w:val="00322D22"/>
    <w:rsid w:val="00325CA5"/>
    <w:rsid w:val="00327641"/>
    <w:rsid w:val="003403A3"/>
    <w:rsid w:val="003417C4"/>
    <w:rsid w:val="00344774"/>
    <w:rsid w:val="00346895"/>
    <w:rsid w:val="003469F6"/>
    <w:rsid w:val="00353142"/>
    <w:rsid w:val="00357C37"/>
    <w:rsid w:val="00363BD3"/>
    <w:rsid w:val="00363D6D"/>
    <w:rsid w:val="00381FE4"/>
    <w:rsid w:val="00384308"/>
    <w:rsid w:val="003866B8"/>
    <w:rsid w:val="00392FC4"/>
    <w:rsid w:val="003942ED"/>
    <w:rsid w:val="00394C3D"/>
    <w:rsid w:val="00395672"/>
    <w:rsid w:val="003A0590"/>
    <w:rsid w:val="003B2073"/>
    <w:rsid w:val="003B3924"/>
    <w:rsid w:val="003B4C69"/>
    <w:rsid w:val="003C0115"/>
    <w:rsid w:val="003C7F5D"/>
    <w:rsid w:val="003D5D81"/>
    <w:rsid w:val="003E6F86"/>
    <w:rsid w:val="003E73C0"/>
    <w:rsid w:val="003F1E0F"/>
    <w:rsid w:val="003F4B36"/>
    <w:rsid w:val="004024F2"/>
    <w:rsid w:val="004139B4"/>
    <w:rsid w:val="004145E1"/>
    <w:rsid w:val="00425BBC"/>
    <w:rsid w:val="004275C9"/>
    <w:rsid w:val="004324B6"/>
    <w:rsid w:val="00432D3E"/>
    <w:rsid w:val="004343D4"/>
    <w:rsid w:val="00447730"/>
    <w:rsid w:val="00455CA3"/>
    <w:rsid w:val="00455CDF"/>
    <w:rsid w:val="0045684B"/>
    <w:rsid w:val="004617CD"/>
    <w:rsid w:val="0046536B"/>
    <w:rsid w:val="00465C5A"/>
    <w:rsid w:val="00465E5B"/>
    <w:rsid w:val="004666A6"/>
    <w:rsid w:val="00470982"/>
    <w:rsid w:val="00472557"/>
    <w:rsid w:val="00477B6D"/>
    <w:rsid w:val="004836B2"/>
    <w:rsid w:val="00493A42"/>
    <w:rsid w:val="004A1049"/>
    <w:rsid w:val="004A2AE6"/>
    <w:rsid w:val="004A2D22"/>
    <w:rsid w:val="004A4E38"/>
    <w:rsid w:val="004A5C44"/>
    <w:rsid w:val="004A6E1E"/>
    <w:rsid w:val="004C514C"/>
    <w:rsid w:val="004C5CBD"/>
    <w:rsid w:val="004D12A3"/>
    <w:rsid w:val="004D3916"/>
    <w:rsid w:val="004D76C6"/>
    <w:rsid w:val="004E0A14"/>
    <w:rsid w:val="004E27FD"/>
    <w:rsid w:val="004F61C9"/>
    <w:rsid w:val="00505ECC"/>
    <w:rsid w:val="005129DA"/>
    <w:rsid w:val="00514EDB"/>
    <w:rsid w:val="00515E4B"/>
    <w:rsid w:val="0052068C"/>
    <w:rsid w:val="0052074A"/>
    <w:rsid w:val="00524621"/>
    <w:rsid w:val="00527C23"/>
    <w:rsid w:val="00527DE3"/>
    <w:rsid w:val="005306BE"/>
    <w:rsid w:val="00532963"/>
    <w:rsid w:val="0054632B"/>
    <w:rsid w:val="00550A0D"/>
    <w:rsid w:val="00550D55"/>
    <w:rsid w:val="00555225"/>
    <w:rsid w:val="005620CC"/>
    <w:rsid w:val="005734F2"/>
    <w:rsid w:val="00574CF6"/>
    <w:rsid w:val="00574FA0"/>
    <w:rsid w:val="0057749F"/>
    <w:rsid w:val="00577DB4"/>
    <w:rsid w:val="0058014D"/>
    <w:rsid w:val="00580F68"/>
    <w:rsid w:val="005A51F7"/>
    <w:rsid w:val="005B161C"/>
    <w:rsid w:val="005B5570"/>
    <w:rsid w:val="005B5F01"/>
    <w:rsid w:val="005C6167"/>
    <w:rsid w:val="005C77AE"/>
    <w:rsid w:val="005E70BE"/>
    <w:rsid w:val="005F11F7"/>
    <w:rsid w:val="005F1291"/>
    <w:rsid w:val="005F71FA"/>
    <w:rsid w:val="00603E02"/>
    <w:rsid w:val="00606CE4"/>
    <w:rsid w:val="006112B2"/>
    <w:rsid w:val="006143A2"/>
    <w:rsid w:val="0061488C"/>
    <w:rsid w:val="00615794"/>
    <w:rsid w:val="00620823"/>
    <w:rsid w:val="00624D6A"/>
    <w:rsid w:val="00626107"/>
    <w:rsid w:val="006308BA"/>
    <w:rsid w:val="00630995"/>
    <w:rsid w:val="00631E0C"/>
    <w:rsid w:val="00631EDB"/>
    <w:rsid w:val="006322E2"/>
    <w:rsid w:val="00633B39"/>
    <w:rsid w:val="00633D85"/>
    <w:rsid w:val="00655C1A"/>
    <w:rsid w:val="006563DA"/>
    <w:rsid w:val="00670B50"/>
    <w:rsid w:val="00674970"/>
    <w:rsid w:val="0067574C"/>
    <w:rsid w:val="006808DC"/>
    <w:rsid w:val="006846D7"/>
    <w:rsid w:val="00694489"/>
    <w:rsid w:val="00694DD9"/>
    <w:rsid w:val="006A26DD"/>
    <w:rsid w:val="006B0544"/>
    <w:rsid w:val="006B1514"/>
    <w:rsid w:val="006B1A82"/>
    <w:rsid w:val="006C1F0E"/>
    <w:rsid w:val="006C5029"/>
    <w:rsid w:val="006D2D6E"/>
    <w:rsid w:val="006D6A7A"/>
    <w:rsid w:val="006E76A4"/>
    <w:rsid w:val="006F0CD5"/>
    <w:rsid w:val="006F3118"/>
    <w:rsid w:val="006F49AF"/>
    <w:rsid w:val="0070354C"/>
    <w:rsid w:val="007100AA"/>
    <w:rsid w:val="00711E3B"/>
    <w:rsid w:val="00715578"/>
    <w:rsid w:val="00715E4D"/>
    <w:rsid w:val="007259A6"/>
    <w:rsid w:val="00726ED7"/>
    <w:rsid w:val="00727DC4"/>
    <w:rsid w:val="00727DFE"/>
    <w:rsid w:val="0074273F"/>
    <w:rsid w:val="00742CB2"/>
    <w:rsid w:val="00750296"/>
    <w:rsid w:val="00750798"/>
    <w:rsid w:val="00756281"/>
    <w:rsid w:val="007608B6"/>
    <w:rsid w:val="007648C7"/>
    <w:rsid w:val="00780DE5"/>
    <w:rsid w:val="00786CEA"/>
    <w:rsid w:val="00787AA8"/>
    <w:rsid w:val="00791EE3"/>
    <w:rsid w:val="007A30C8"/>
    <w:rsid w:val="007B01CC"/>
    <w:rsid w:val="007B42C6"/>
    <w:rsid w:val="007C2576"/>
    <w:rsid w:val="007D4345"/>
    <w:rsid w:val="007D66D7"/>
    <w:rsid w:val="007E1429"/>
    <w:rsid w:val="007E3D9C"/>
    <w:rsid w:val="007E3DDE"/>
    <w:rsid w:val="007E4196"/>
    <w:rsid w:val="007E43CF"/>
    <w:rsid w:val="007E7140"/>
    <w:rsid w:val="007F4FF4"/>
    <w:rsid w:val="0080611E"/>
    <w:rsid w:val="008134A3"/>
    <w:rsid w:val="00816F18"/>
    <w:rsid w:val="00843FDB"/>
    <w:rsid w:val="00854E83"/>
    <w:rsid w:val="00854FE5"/>
    <w:rsid w:val="00855AA5"/>
    <w:rsid w:val="00863C6D"/>
    <w:rsid w:val="00870EC0"/>
    <w:rsid w:val="008814CF"/>
    <w:rsid w:val="00893126"/>
    <w:rsid w:val="008A3402"/>
    <w:rsid w:val="008B39F7"/>
    <w:rsid w:val="008B750B"/>
    <w:rsid w:val="008D6BB1"/>
    <w:rsid w:val="008D783F"/>
    <w:rsid w:val="008F0D35"/>
    <w:rsid w:val="008F1C1C"/>
    <w:rsid w:val="008F66D0"/>
    <w:rsid w:val="00903D22"/>
    <w:rsid w:val="00910F8E"/>
    <w:rsid w:val="00913B56"/>
    <w:rsid w:val="00916596"/>
    <w:rsid w:val="0092270E"/>
    <w:rsid w:val="00924271"/>
    <w:rsid w:val="0093064F"/>
    <w:rsid w:val="0094235E"/>
    <w:rsid w:val="00943BE7"/>
    <w:rsid w:val="00955046"/>
    <w:rsid w:val="00964F5E"/>
    <w:rsid w:val="00965306"/>
    <w:rsid w:val="00973190"/>
    <w:rsid w:val="00977F3C"/>
    <w:rsid w:val="00980C8E"/>
    <w:rsid w:val="0098125E"/>
    <w:rsid w:val="00981CDE"/>
    <w:rsid w:val="00990151"/>
    <w:rsid w:val="00991FDB"/>
    <w:rsid w:val="00993334"/>
    <w:rsid w:val="00996E85"/>
    <w:rsid w:val="009A7ED3"/>
    <w:rsid w:val="009B093E"/>
    <w:rsid w:val="009B3EE6"/>
    <w:rsid w:val="009C193F"/>
    <w:rsid w:val="009C4F50"/>
    <w:rsid w:val="009D1C32"/>
    <w:rsid w:val="009E458E"/>
    <w:rsid w:val="009F0E9A"/>
    <w:rsid w:val="009F4101"/>
    <w:rsid w:val="009F5192"/>
    <w:rsid w:val="009F55DE"/>
    <w:rsid w:val="009F5DAC"/>
    <w:rsid w:val="00A068DC"/>
    <w:rsid w:val="00A06953"/>
    <w:rsid w:val="00A06B4C"/>
    <w:rsid w:val="00A07EA7"/>
    <w:rsid w:val="00A11189"/>
    <w:rsid w:val="00A14244"/>
    <w:rsid w:val="00A158DB"/>
    <w:rsid w:val="00A21ADE"/>
    <w:rsid w:val="00A230D9"/>
    <w:rsid w:val="00A3040F"/>
    <w:rsid w:val="00A31AFF"/>
    <w:rsid w:val="00A32C66"/>
    <w:rsid w:val="00A333AF"/>
    <w:rsid w:val="00A37AE5"/>
    <w:rsid w:val="00A43459"/>
    <w:rsid w:val="00A5190D"/>
    <w:rsid w:val="00A8532B"/>
    <w:rsid w:val="00A85467"/>
    <w:rsid w:val="00A90109"/>
    <w:rsid w:val="00AA0AF0"/>
    <w:rsid w:val="00AA188A"/>
    <w:rsid w:val="00AA3CA2"/>
    <w:rsid w:val="00AA3D9F"/>
    <w:rsid w:val="00AA6E5A"/>
    <w:rsid w:val="00AB0FC4"/>
    <w:rsid w:val="00AB6ED0"/>
    <w:rsid w:val="00AC23C9"/>
    <w:rsid w:val="00AC38F0"/>
    <w:rsid w:val="00AC6DAD"/>
    <w:rsid w:val="00AD1B75"/>
    <w:rsid w:val="00AD1F3A"/>
    <w:rsid w:val="00AD4670"/>
    <w:rsid w:val="00AE008D"/>
    <w:rsid w:val="00AE4A0F"/>
    <w:rsid w:val="00AE5237"/>
    <w:rsid w:val="00AE63E1"/>
    <w:rsid w:val="00B062C5"/>
    <w:rsid w:val="00B1278E"/>
    <w:rsid w:val="00B1705E"/>
    <w:rsid w:val="00B23D70"/>
    <w:rsid w:val="00B26781"/>
    <w:rsid w:val="00B35782"/>
    <w:rsid w:val="00B45B38"/>
    <w:rsid w:val="00B53E6E"/>
    <w:rsid w:val="00B56AD7"/>
    <w:rsid w:val="00B57FB9"/>
    <w:rsid w:val="00B61BAD"/>
    <w:rsid w:val="00B62B8C"/>
    <w:rsid w:val="00B67419"/>
    <w:rsid w:val="00B8187C"/>
    <w:rsid w:val="00B81B2E"/>
    <w:rsid w:val="00B85234"/>
    <w:rsid w:val="00B877CF"/>
    <w:rsid w:val="00B91FCC"/>
    <w:rsid w:val="00B95787"/>
    <w:rsid w:val="00B95D2B"/>
    <w:rsid w:val="00BA047A"/>
    <w:rsid w:val="00BA1F41"/>
    <w:rsid w:val="00BA334B"/>
    <w:rsid w:val="00BA6003"/>
    <w:rsid w:val="00BB14CA"/>
    <w:rsid w:val="00BB753B"/>
    <w:rsid w:val="00BC1856"/>
    <w:rsid w:val="00BC404D"/>
    <w:rsid w:val="00BF7BCE"/>
    <w:rsid w:val="00C00423"/>
    <w:rsid w:val="00C04638"/>
    <w:rsid w:val="00C15CFE"/>
    <w:rsid w:val="00C23122"/>
    <w:rsid w:val="00C241DD"/>
    <w:rsid w:val="00C34415"/>
    <w:rsid w:val="00C41020"/>
    <w:rsid w:val="00C41AE4"/>
    <w:rsid w:val="00C451B2"/>
    <w:rsid w:val="00C5228B"/>
    <w:rsid w:val="00C549F5"/>
    <w:rsid w:val="00C573A6"/>
    <w:rsid w:val="00C6355A"/>
    <w:rsid w:val="00C63C52"/>
    <w:rsid w:val="00C664E3"/>
    <w:rsid w:val="00C903C2"/>
    <w:rsid w:val="00CA740C"/>
    <w:rsid w:val="00CC7246"/>
    <w:rsid w:val="00CD2AB7"/>
    <w:rsid w:val="00CD4ABA"/>
    <w:rsid w:val="00CD69E5"/>
    <w:rsid w:val="00CE3B4E"/>
    <w:rsid w:val="00CE5700"/>
    <w:rsid w:val="00CF02D2"/>
    <w:rsid w:val="00CF0A80"/>
    <w:rsid w:val="00CF1545"/>
    <w:rsid w:val="00CF3901"/>
    <w:rsid w:val="00D02CA1"/>
    <w:rsid w:val="00D03EF4"/>
    <w:rsid w:val="00D1052B"/>
    <w:rsid w:val="00D13624"/>
    <w:rsid w:val="00D17CE8"/>
    <w:rsid w:val="00D2580D"/>
    <w:rsid w:val="00D31BA7"/>
    <w:rsid w:val="00D32354"/>
    <w:rsid w:val="00D349EB"/>
    <w:rsid w:val="00D37675"/>
    <w:rsid w:val="00D37F2E"/>
    <w:rsid w:val="00D37F96"/>
    <w:rsid w:val="00D42993"/>
    <w:rsid w:val="00D46FE8"/>
    <w:rsid w:val="00D54120"/>
    <w:rsid w:val="00D56440"/>
    <w:rsid w:val="00D56E1E"/>
    <w:rsid w:val="00D6121B"/>
    <w:rsid w:val="00D629F3"/>
    <w:rsid w:val="00D64D51"/>
    <w:rsid w:val="00D6790A"/>
    <w:rsid w:val="00D72678"/>
    <w:rsid w:val="00D76F74"/>
    <w:rsid w:val="00D80EB1"/>
    <w:rsid w:val="00D843BA"/>
    <w:rsid w:val="00D85869"/>
    <w:rsid w:val="00D8648D"/>
    <w:rsid w:val="00D9022D"/>
    <w:rsid w:val="00D918F9"/>
    <w:rsid w:val="00D94188"/>
    <w:rsid w:val="00D94CD9"/>
    <w:rsid w:val="00DA1B4F"/>
    <w:rsid w:val="00DA4E5D"/>
    <w:rsid w:val="00DB07D9"/>
    <w:rsid w:val="00DB39DE"/>
    <w:rsid w:val="00DB5A4F"/>
    <w:rsid w:val="00DC150C"/>
    <w:rsid w:val="00DC265E"/>
    <w:rsid w:val="00DC639C"/>
    <w:rsid w:val="00DD0157"/>
    <w:rsid w:val="00DD38A2"/>
    <w:rsid w:val="00DD6612"/>
    <w:rsid w:val="00DE12CF"/>
    <w:rsid w:val="00DF42DC"/>
    <w:rsid w:val="00DF49B3"/>
    <w:rsid w:val="00E01156"/>
    <w:rsid w:val="00E05BE5"/>
    <w:rsid w:val="00E07665"/>
    <w:rsid w:val="00E202B8"/>
    <w:rsid w:val="00E2255D"/>
    <w:rsid w:val="00E24CE4"/>
    <w:rsid w:val="00E337B2"/>
    <w:rsid w:val="00E3640D"/>
    <w:rsid w:val="00E42C7E"/>
    <w:rsid w:val="00E53A17"/>
    <w:rsid w:val="00E601B3"/>
    <w:rsid w:val="00E60E1C"/>
    <w:rsid w:val="00E61F48"/>
    <w:rsid w:val="00E6436D"/>
    <w:rsid w:val="00E65CE4"/>
    <w:rsid w:val="00E6609F"/>
    <w:rsid w:val="00E66ED5"/>
    <w:rsid w:val="00E749EE"/>
    <w:rsid w:val="00E75F14"/>
    <w:rsid w:val="00E7682D"/>
    <w:rsid w:val="00E94036"/>
    <w:rsid w:val="00EA3937"/>
    <w:rsid w:val="00EA5E01"/>
    <w:rsid w:val="00EB0C59"/>
    <w:rsid w:val="00EB0C73"/>
    <w:rsid w:val="00EC1134"/>
    <w:rsid w:val="00EC1FE9"/>
    <w:rsid w:val="00EC2765"/>
    <w:rsid w:val="00EC5473"/>
    <w:rsid w:val="00EE2ACC"/>
    <w:rsid w:val="00EF2468"/>
    <w:rsid w:val="00EF4B2A"/>
    <w:rsid w:val="00F1793E"/>
    <w:rsid w:val="00F24176"/>
    <w:rsid w:val="00F2787E"/>
    <w:rsid w:val="00F32040"/>
    <w:rsid w:val="00F36C23"/>
    <w:rsid w:val="00F45B6C"/>
    <w:rsid w:val="00F4656D"/>
    <w:rsid w:val="00F47B2F"/>
    <w:rsid w:val="00F47E2B"/>
    <w:rsid w:val="00F50077"/>
    <w:rsid w:val="00F63E0B"/>
    <w:rsid w:val="00F71CF5"/>
    <w:rsid w:val="00F76BA3"/>
    <w:rsid w:val="00F76F58"/>
    <w:rsid w:val="00F81C32"/>
    <w:rsid w:val="00FA0F41"/>
    <w:rsid w:val="00FA2544"/>
    <w:rsid w:val="00FA2C5D"/>
    <w:rsid w:val="00FA3A0E"/>
    <w:rsid w:val="00FC4510"/>
    <w:rsid w:val="00FC54C5"/>
    <w:rsid w:val="00FC744B"/>
    <w:rsid w:val="00FD2F75"/>
    <w:rsid w:val="00FD7F4A"/>
    <w:rsid w:val="00FE10F3"/>
    <w:rsid w:val="00FE133D"/>
    <w:rsid w:val="00FE7CDB"/>
    <w:rsid w:val="00FF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D2FC6"/>
  <w15:chartTrackingRefBased/>
  <w15:docId w15:val="{54886BF0-D635-4ECE-8143-BB80A5BB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56F"/>
    <w:pPr>
      <w:autoSpaceDE w:val="0"/>
      <w:autoSpaceDN w:val="0"/>
    </w:pPr>
    <w:rPr>
      <w:rFonts w:ascii="Times New Roman" w:eastAsia="宋体" w:hAnsi="Times New Roman" w:cs="Times New Roman"/>
      <w:kern w:val="0"/>
      <w:sz w:val="20"/>
      <w:szCs w:val="20"/>
      <w:lang w:val="de-DE" w:eastAsia="en-US"/>
    </w:rPr>
  </w:style>
  <w:style w:type="paragraph" w:styleId="1">
    <w:name w:val="heading 1"/>
    <w:basedOn w:val="a"/>
    <w:next w:val="a"/>
    <w:link w:val="10"/>
    <w:uiPriority w:val="9"/>
    <w:qFormat/>
    <w:rsid w:val="00DD38A2"/>
    <w:pPr>
      <w:keepNext/>
      <w:keepLines/>
      <w:spacing w:before="360" w:after="120"/>
      <w:outlineLvl w:val="0"/>
    </w:pPr>
    <w:rPr>
      <w:rFonts w:eastAsia="Times New Roman"/>
      <w:b/>
      <w:bCs/>
      <w:kern w:val="44"/>
      <w:sz w:val="28"/>
      <w:szCs w:val="44"/>
    </w:rPr>
  </w:style>
  <w:style w:type="paragraph" w:styleId="2">
    <w:name w:val="heading 2"/>
    <w:basedOn w:val="a"/>
    <w:next w:val="a"/>
    <w:link w:val="20"/>
    <w:uiPriority w:val="9"/>
    <w:unhideWhenUsed/>
    <w:qFormat/>
    <w:rsid w:val="00F1793E"/>
    <w:pPr>
      <w:keepNext/>
      <w:keepLines/>
      <w:spacing w:before="180" w:after="120"/>
      <w:outlineLvl w:val="1"/>
    </w:pPr>
    <w:rPr>
      <w:rFonts w:eastAsia="Times New Roman" w:cstheme="majorBidi"/>
      <w:b/>
      <w:bCs/>
      <w:sz w:val="24"/>
      <w:szCs w:val="32"/>
    </w:rPr>
  </w:style>
  <w:style w:type="paragraph" w:styleId="3">
    <w:name w:val="heading 3"/>
    <w:basedOn w:val="a"/>
    <w:next w:val="a"/>
    <w:link w:val="30"/>
    <w:uiPriority w:val="9"/>
    <w:unhideWhenUsed/>
    <w:qFormat/>
    <w:rsid w:val="00CF02D2"/>
    <w:pPr>
      <w:keepNext/>
      <w:keepLines/>
      <w:spacing w:before="120" w:after="60"/>
      <w:outlineLvl w:val="2"/>
    </w:pPr>
    <w:rPr>
      <w:rFonts w:eastAsia="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56F"/>
    <w:pPr>
      <w:tabs>
        <w:tab w:val="center" w:pos="4320"/>
        <w:tab w:val="right" w:pos="8640"/>
      </w:tabs>
    </w:pPr>
  </w:style>
  <w:style w:type="character" w:customStyle="1" w:styleId="a4">
    <w:name w:val="页眉 字符"/>
    <w:basedOn w:val="a0"/>
    <w:link w:val="a3"/>
    <w:uiPriority w:val="99"/>
    <w:rsid w:val="0007556F"/>
  </w:style>
  <w:style w:type="paragraph" w:styleId="a5">
    <w:name w:val="footer"/>
    <w:basedOn w:val="a"/>
    <w:link w:val="a6"/>
    <w:uiPriority w:val="99"/>
    <w:unhideWhenUsed/>
    <w:rsid w:val="0007556F"/>
    <w:pPr>
      <w:tabs>
        <w:tab w:val="center" w:pos="4320"/>
        <w:tab w:val="right" w:pos="8640"/>
      </w:tabs>
    </w:pPr>
  </w:style>
  <w:style w:type="character" w:customStyle="1" w:styleId="a6">
    <w:name w:val="页脚 字符"/>
    <w:basedOn w:val="a0"/>
    <w:link w:val="a5"/>
    <w:uiPriority w:val="99"/>
    <w:qFormat/>
    <w:rsid w:val="0007556F"/>
  </w:style>
  <w:style w:type="paragraph" w:customStyle="1" w:styleId="TTPTitle">
    <w:name w:val="TTP Title"/>
    <w:basedOn w:val="a"/>
    <w:next w:val="TTPAuthors"/>
    <w:uiPriority w:val="99"/>
    <w:rsid w:val="0007556F"/>
    <w:pPr>
      <w:spacing w:after="120"/>
      <w:jc w:val="center"/>
    </w:pPr>
    <w:rPr>
      <w:rFonts w:ascii="Arial" w:hAnsi="Arial" w:cs="Arial"/>
      <w:b/>
      <w:bCs/>
      <w:sz w:val="30"/>
      <w:szCs w:val="30"/>
      <w:lang w:val="en-US"/>
    </w:rPr>
  </w:style>
  <w:style w:type="paragraph" w:customStyle="1" w:styleId="TTPAuthors">
    <w:name w:val="TTP Author(s)"/>
    <w:basedOn w:val="a"/>
    <w:next w:val="TTPAddress"/>
    <w:uiPriority w:val="99"/>
    <w:rsid w:val="0007556F"/>
    <w:pPr>
      <w:spacing w:before="120"/>
      <w:jc w:val="center"/>
    </w:pPr>
    <w:rPr>
      <w:rFonts w:ascii="Arial" w:hAnsi="Arial" w:cs="Arial"/>
      <w:sz w:val="28"/>
      <w:szCs w:val="28"/>
      <w:lang w:val="en-US"/>
    </w:rPr>
  </w:style>
  <w:style w:type="paragraph" w:customStyle="1" w:styleId="TTPAddress">
    <w:name w:val="TTP Address"/>
    <w:basedOn w:val="a"/>
    <w:uiPriority w:val="99"/>
    <w:rsid w:val="0007556F"/>
    <w:pPr>
      <w:spacing w:before="120"/>
      <w:jc w:val="center"/>
    </w:pPr>
    <w:rPr>
      <w:rFonts w:ascii="Arial" w:hAnsi="Arial" w:cs="Arial"/>
      <w:sz w:val="22"/>
      <w:szCs w:val="22"/>
      <w:lang w:val="en-US"/>
    </w:rPr>
  </w:style>
  <w:style w:type="paragraph" w:customStyle="1" w:styleId="TTPSectionHeading">
    <w:name w:val="TTP Section Heading"/>
    <w:basedOn w:val="a"/>
    <w:next w:val="a"/>
    <w:uiPriority w:val="99"/>
    <w:rsid w:val="0007556F"/>
    <w:pPr>
      <w:spacing w:before="360" w:after="120"/>
      <w:jc w:val="both"/>
    </w:pPr>
    <w:rPr>
      <w:b/>
      <w:bCs/>
      <w:sz w:val="24"/>
      <w:szCs w:val="24"/>
      <w:lang w:val="en-US"/>
    </w:rPr>
  </w:style>
  <w:style w:type="paragraph" w:customStyle="1" w:styleId="TTPParagraphothers">
    <w:name w:val="TTP Paragraph (others)"/>
    <w:basedOn w:val="a"/>
    <w:link w:val="TTPParagraphothers0"/>
    <w:uiPriority w:val="99"/>
    <w:qFormat/>
    <w:rsid w:val="0007556F"/>
    <w:pPr>
      <w:ind w:firstLine="283"/>
      <w:jc w:val="both"/>
    </w:pPr>
    <w:rPr>
      <w:sz w:val="24"/>
      <w:szCs w:val="24"/>
      <w:lang w:val="en-US"/>
    </w:rPr>
  </w:style>
  <w:style w:type="paragraph" w:customStyle="1" w:styleId="TTPReference">
    <w:name w:val="TTP Reference"/>
    <w:basedOn w:val="a"/>
    <w:rsid w:val="0007556F"/>
    <w:pPr>
      <w:tabs>
        <w:tab w:val="left" w:pos="426"/>
      </w:tabs>
      <w:spacing w:after="120" w:line="288" w:lineRule="atLeast"/>
      <w:jc w:val="both"/>
    </w:pPr>
    <w:rPr>
      <w:sz w:val="24"/>
      <w:szCs w:val="24"/>
    </w:rPr>
  </w:style>
  <w:style w:type="paragraph" w:customStyle="1" w:styleId="TTPKeywords">
    <w:name w:val="TTP Keywords"/>
    <w:basedOn w:val="a"/>
    <w:next w:val="TTPAbstract"/>
    <w:uiPriority w:val="99"/>
    <w:rsid w:val="0007556F"/>
    <w:pPr>
      <w:spacing w:before="360"/>
      <w:jc w:val="both"/>
    </w:pPr>
    <w:rPr>
      <w:rFonts w:ascii="Arial" w:hAnsi="Arial" w:cs="Arial"/>
      <w:sz w:val="22"/>
      <w:szCs w:val="22"/>
      <w:lang w:val="en-US"/>
    </w:rPr>
  </w:style>
  <w:style w:type="paragraph" w:customStyle="1" w:styleId="TTPAbstract">
    <w:name w:val="TTP Abstract"/>
    <w:basedOn w:val="a"/>
    <w:next w:val="TTPSectionHeading"/>
    <w:rsid w:val="0007556F"/>
    <w:pPr>
      <w:spacing w:before="360"/>
      <w:jc w:val="both"/>
    </w:pPr>
    <w:rPr>
      <w:sz w:val="24"/>
      <w:szCs w:val="24"/>
      <w:lang w:val="en-US"/>
    </w:rPr>
  </w:style>
  <w:style w:type="character" w:customStyle="1" w:styleId="Char">
    <w:name w:val="页眉 Char"/>
    <w:uiPriority w:val="99"/>
    <w:semiHidden/>
    <w:locked/>
    <w:rsid w:val="0007556F"/>
    <w:rPr>
      <w:rFonts w:cs="Times New Roman"/>
      <w:sz w:val="20"/>
      <w:szCs w:val="20"/>
      <w:lang w:val="de-DE" w:eastAsia="en-US"/>
    </w:rPr>
  </w:style>
  <w:style w:type="character" w:styleId="a7">
    <w:name w:val="Hyperlink"/>
    <w:uiPriority w:val="99"/>
    <w:rsid w:val="0007556F"/>
    <w:rPr>
      <w:rFonts w:cs="Times New Roman"/>
      <w:color w:val="0000FF"/>
      <w:u w:val="single"/>
    </w:rPr>
  </w:style>
  <w:style w:type="character" w:customStyle="1" w:styleId="10">
    <w:name w:val="标题 1 字符"/>
    <w:basedOn w:val="a0"/>
    <w:link w:val="1"/>
    <w:uiPriority w:val="9"/>
    <w:rsid w:val="00DD38A2"/>
    <w:rPr>
      <w:rFonts w:ascii="Times New Roman" w:eastAsia="Times New Roman" w:hAnsi="Times New Roman" w:cs="Times New Roman"/>
      <w:b/>
      <w:bCs/>
      <w:kern w:val="44"/>
      <w:sz w:val="28"/>
      <w:szCs w:val="44"/>
      <w:lang w:val="de-DE" w:eastAsia="en-US"/>
    </w:rPr>
  </w:style>
  <w:style w:type="character" w:customStyle="1" w:styleId="20">
    <w:name w:val="标题 2 字符"/>
    <w:basedOn w:val="a0"/>
    <w:link w:val="2"/>
    <w:uiPriority w:val="9"/>
    <w:rsid w:val="00F1793E"/>
    <w:rPr>
      <w:rFonts w:ascii="Times New Roman" w:eastAsia="Times New Roman" w:hAnsi="Times New Roman" w:cstheme="majorBidi"/>
      <w:b/>
      <w:bCs/>
      <w:kern w:val="0"/>
      <w:sz w:val="24"/>
      <w:szCs w:val="32"/>
      <w:lang w:val="de-DE" w:eastAsia="en-US"/>
    </w:rPr>
  </w:style>
  <w:style w:type="paragraph" w:styleId="a8">
    <w:name w:val="List Paragraph"/>
    <w:basedOn w:val="a"/>
    <w:uiPriority w:val="34"/>
    <w:qFormat/>
    <w:rsid w:val="00CF02D2"/>
    <w:pPr>
      <w:ind w:firstLineChars="200" w:firstLine="420"/>
    </w:pPr>
  </w:style>
  <w:style w:type="character" w:customStyle="1" w:styleId="30">
    <w:name w:val="标题 3 字符"/>
    <w:basedOn w:val="a0"/>
    <w:link w:val="3"/>
    <w:uiPriority w:val="9"/>
    <w:rsid w:val="00CF02D2"/>
    <w:rPr>
      <w:rFonts w:ascii="Times New Roman" w:eastAsia="Times New Roman" w:hAnsi="Times New Roman" w:cs="Times New Roman"/>
      <w:b/>
      <w:bCs/>
      <w:kern w:val="0"/>
      <w:sz w:val="24"/>
      <w:szCs w:val="32"/>
      <w:lang w:val="de-DE" w:eastAsia="en-US"/>
    </w:rPr>
  </w:style>
  <w:style w:type="paragraph" w:customStyle="1" w:styleId="references0">
    <w:name w:val="references"/>
    <w:uiPriority w:val="99"/>
    <w:rsid w:val="00E337B2"/>
    <w:pPr>
      <w:numPr>
        <w:numId w:val="5"/>
      </w:numPr>
      <w:tabs>
        <w:tab w:val="left" w:pos="360"/>
      </w:tabs>
      <w:spacing w:after="50" w:line="180" w:lineRule="exact"/>
      <w:jc w:val="both"/>
    </w:pPr>
    <w:rPr>
      <w:rFonts w:ascii="Times New Roman" w:eastAsia="宋体" w:hAnsi="Times New Roman" w:cs="Times New Roman"/>
      <w:kern w:val="0"/>
      <w:sz w:val="16"/>
      <w:szCs w:val="16"/>
      <w:lang w:eastAsia="en-US"/>
    </w:rPr>
  </w:style>
  <w:style w:type="paragraph" w:customStyle="1" w:styleId="Reference">
    <w:name w:val="Reference"/>
    <w:basedOn w:val="a"/>
    <w:rsid w:val="00E337B2"/>
    <w:pPr>
      <w:autoSpaceDE/>
      <w:autoSpaceDN/>
      <w:ind w:left="720" w:hanging="360"/>
      <w:jc w:val="both"/>
    </w:pPr>
    <w:rPr>
      <w:rFonts w:eastAsiaTheme="minorEastAsia"/>
      <w:lang w:val="en-US"/>
    </w:rPr>
  </w:style>
  <w:style w:type="table" w:styleId="a9">
    <w:name w:val="Table Grid"/>
    <w:basedOn w:val="a1"/>
    <w:uiPriority w:val="39"/>
    <w:rsid w:val="00327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F3118"/>
    <w:rPr>
      <w:sz w:val="18"/>
      <w:szCs w:val="18"/>
    </w:rPr>
  </w:style>
  <w:style w:type="character" w:customStyle="1" w:styleId="ab">
    <w:name w:val="批注框文本 字符"/>
    <w:basedOn w:val="a0"/>
    <w:link w:val="aa"/>
    <w:uiPriority w:val="99"/>
    <w:semiHidden/>
    <w:rsid w:val="006F3118"/>
    <w:rPr>
      <w:rFonts w:ascii="Times New Roman" w:eastAsia="宋体" w:hAnsi="Times New Roman" w:cs="Times New Roman"/>
      <w:kern w:val="0"/>
      <w:sz w:val="18"/>
      <w:szCs w:val="18"/>
      <w:lang w:val="de-DE" w:eastAsia="en-US"/>
    </w:rPr>
  </w:style>
  <w:style w:type="table" w:styleId="11">
    <w:name w:val="Plain Table 1"/>
    <w:basedOn w:val="a1"/>
    <w:uiPriority w:val="41"/>
    <w:rsid w:val="000E63FC"/>
    <w:rPr>
      <w:kern w:val="0"/>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
    <w:name w:val="References"/>
    <w:basedOn w:val="a"/>
    <w:link w:val="References1"/>
    <w:qFormat/>
    <w:rsid w:val="000E63FC"/>
    <w:pPr>
      <w:numPr>
        <w:numId w:val="6"/>
      </w:numPr>
      <w:spacing w:after="120" w:line="200" w:lineRule="exact"/>
      <w:ind w:left="212" w:hangingChars="212" w:hanging="212"/>
      <w:jc w:val="both"/>
    </w:pPr>
    <w:rPr>
      <w:rFonts w:eastAsia="Times New Roman"/>
      <w:sz w:val="18"/>
      <w:szCs w:val="18"/>
    </w:rPr>
  </w:style>
  <w:style w:type="character" w:customStyle="1" w:styleId="References1">
    <w:name w:val="References 字符"/>
    <w:basedOn w:val="a0"/>
    <w:link w:val="References"/>
    <w:rsid w:val="000E63FC"/>
    <w:rPr>
      <w:rFonts w:ascii="Times New Roman" w:eastAsia="Times New Roman" w:hAnsi="Times New Roman" w:cs="Times New Roman"/>
      <w:kern w:val="0"/>
      <w:sz w:val="18"/>
      <w:szCs w:val="18"/>
      <w:lang w:val="de-DE" w:eastAsia="en-US"/>
    </w:rPr>
  </w:style>
  <w:style w:type="paragraph" w:customStyle="1" w:styleId="Formula">
    <w:name w:val="Formula"/>
    <w:basedOn w:val="a"/>
    <w:link w:val="Formula0"/>
    <w:qFormat/>
    <w:rsid w:val="000E63FC"/>
    <w:pPr>
      <w:widowControl w:val="0"/>
      <w:autoSpaceDE/>
      <w:autoSpaceDN/>
      <w:spacing w:before="120" w:after="120"/>
      <w:jc w:val="right"/>
    </w:pPr>
    <w:rPr>
      <w:rFonts w:eastAsia="Times New Roman"/>
      <w:kern w:val="2"/>
      <w:lang w:val="en-US" w:eastAsia="zh-CN"/>
    </w:rPr>
  </w:style>
  <w:style w:type="character" w:customStyle="1" w:styleId="Formula0">
    <w:name w:val="Formula 字符"/>
    <w:basedOn w:val="a0"/>
    <w:link w:val="Formula"/>
    <w:rsid w:val="000E63FC"/>
    <w:rPr>
      <w:rFonts w:ascii="Times New Roman" w:eastAsia="Times New Roman" w:hAnsi="Times New Roman" w:cs="Times New Roman"/>
      <w:sz w:val="20"/>
      <w:szCs w:val="20"/>
    </w:rPr>
  </w:style>
  <w:style w:type="paragraph" w:customStyle="1" w:styleId="Figure">
    <w:name w:val="Figure"/>
    <w:basedOn w:val="TTPParagraphothers"/>
    <w:link w:val="Figure0"/>
    <w:qFormat/>
    <w:rsid w:val="000E63FC"/>
    <w:pPr>
      <w:spacing w:before="60" w:after="60" w:line="200" w:lineRule="exact"/>
      <w:ind w:firstLine="0"/>
      <w:jc w:val="center"/>
    </w:pPr>
    <w:rPr>
      <w:sz w:val="18"/>
      <w:szCs w:val="18"/>
    </w:rPr>
  </w:style>
  <w:style w:type="character" w:customStyle="1" w:styleId="TTPParagraphothers0">
    <w:name w:val="TTP Paragraph (others) 字符"/>
    <w:basedOn w:val="a0"/>
    <w:link w:val="TTPParagraphothers"/>
    <w:uiPriority w:val="99"/>
    <w:qFormat/>
    <w:rsid w:val="000E63FC"/>
    <w:rPr>
      <w:rFonts w:ascii="Times New Roman" w:eastAsia="宋体" w:hAnsi="Times New Roman" w:cs="Times New Roman"/>
      <w:kern w:val="0"/>
      <w:sz w:val="24"/>
      <w:szCs w:val="24"/>
      <w:lang w:eastAsia="en-US"/>
    </w:rPr>
  </w:style>
  <w:style w:type="character" w:customStyle="1" w:styleId="Figure0">
    <w:name w:val="Figure 字符"/>
    <w:basedOn w:val="TTPParagraphothers0"/>
    <w:link w:val="Figure"/>
    <w:rsid w:val="000E63FC"/>
    <w:rPr>
      <w:rFonts w:ascii="Times New Roman" w:eastAsia="宋体" w:hAnsi="Times New Roman" w:cs="Times New Roman"/>
      <w:kern w:val="0"/>
      <w:sz w:val="18"/>
      <w:szCs w:val="18"/>
      <w:lang w:eastAsia="en-US"/>
    </w:rPr>
  </w:style>
  <w:style w:type="character" w:styleId="ac">
    <w:name w:val="Unresolved Mention"/>
    <w:basedOn w:val="a0"/>
    <w:uiPriority w:val="99"/>
    <w:semiHidden/>
    <w:unhideWhenUsed/>
    <w:rsid w:val="00D9022D"/>
    <w:rPr>
      <w:color w:val="605E5C"/>
      <w:shd w:val="clear" w:color="auto" w:fill="E1DFDD"/>
    </w:rPr>
  </w:style>
  <w:style w:type="paragraph" w:styleId="ad">
    <w:name w:val="Body Text"/>
    <w:basedOn w:val="a"/>
    <w:link w:val="ae"/>
    <w:qFormat/>
    <w:rsid w:val="00D9022D"/>
    <w:pPr>
      <w:widowControl w:val="0"/>
      <w:autoSpaceDE/>
      <w:autoSpaceDN/>
      <w:spacing w:after="120" w:line="360" w:lineRule="auto"/>
      <w:jc w:val="both"/>
    </w:pPr>
    <w:rPr>
      <w:kern w:val="2"/>
      <w:sz w:val="24"/>
      <w:szCs w:val="24"/>
      <w:lang w:val="en-US" w:eastAsia="zh-CN"/>
    </w:rPr>
  </w:style>
  <w:style w:type="character" w:customStyle="1" w:styleId="ae">
    <w:name w:val="正文文本 字符"/>
    <w:basedOn w:val="a0"/>
    <w:link w:val="ad"/>
    <w:rsid w:val="00D9022D"/>
    <w:rPr>
      <w:rFonts w:ascii="Times New Roman" w:eastAsia="宋体" w:hAnsi="Times New Roman" w:cs="Times New Roman"/>
      <w:sz w:val="24"/>
      <w:szCs w:val="24"/>
    </w:rPr>
  </w:style>
  <w:style w:type="character" w:styleId="af">
    <w:name w:val="Strong"/>
    <w:basedOn w:val="a0"/>
    <w:qFormat/>
    <w:rsid w:val="00D9022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52413-D651-4BD6-AA5B-A5D91E81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3615</Words>
  <Characters>23285</Characters>
  <Application>Microsoft Office Word</Application>
  <DocSecurity>0</DocSecurity>
  <Lines>327</Lines>
  <Paragraphs>81</Paragraphs>
  <ScaleCrop>false</ScaleCrop>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dc:creator>
  <cp:keywords/>
  <dc:description/>
  <cp:lastModifiedBy>丽 许</cp:lastModifiedBy>
  <cp:revision>7</cp:revision>
  <cp:lastPrinted>2026-04-16T01:38:00Z</cp:lastPrinted>
  <dcterms:created xsi:type="dcterms:W3CDTF">2026-04-14T07:10:00Z</dcterms:created>
  <dcterms:modified xsi:type="dcterms:W3CDTF">2026-04-16T01:38:00Z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